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58" w:rsidRPr="00D22629" w:rsidRDefault="00D22629" w:rsidP="00367D5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22629">
        <w:rPr>
          <w:rFonts w:ascii="Times New Roman" w:hAnsi="Times New Roman" w:cs="Times New Roman"/>
          <w:b/>
          <w:sz w:val="20"/>
          <w:szCs w:val="20"/>
        </w:rPr>
        <w:t>ELEKTROTEHNIČKA I EKONOMSKA ŠKOLA</w:t>
      </w:r>
    </w:p>
    <w:p w:rsidR="00D22629" w:rsidRPr="00D22629" w:rsidRDefault="00D22629" w:rsidP="00367D5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22629">
        <w:rPr>
          <w:rFonts w:ascii="Times New Roman" w:hAnsi="Times New Roman" w:cs="Times New Roman"/>
          <w:sz w:val="20"/>
          <w:szCs w:val="20"/>
        </w:rPr>
        <w:t>Ljudevita Gaja 24</w:t>
      </w: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D22629">
        <w:rPr>
          <w:rFonts w:ascii="Times New Roman" w:hAnsi="Times New Roman" w:cs="Times New Roman"/>
          <w:sz w:val="20"/>
          <w:szCs w:val="20"/>
        </w:rPr>
        <w:t>35400 Nova Gradiška</w:t>
      </w: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29">
        <w:rPr>
          <w:rFonts w:ascii="Times New Roman" w:hAnsi="Times New Roman" w:cs="Times New Roman"/>
          <w:b/>
          <w:sz w:val="28"/>
          <w:szCs w:val="28"/>
        </w:rPr>
        <w:t>BILJEŠKE</w:t>
      </w:r>
    </w:p>
    <w:p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D22629">
        <w:rPr>
          <w:rFonts w:ascii="Times New Roman" w:hAnsi="Times New Roman" w:cs="Times New Roman"/>
          <w:sz w:val="28"/>
          <w:szCs w:val="28"/>
        </w:rPr>
        <w:t>uz godi</w:t>
      </w:r>
      <w:r w:rsidR="00CC48B4">
        <w:rPr>
          <w:rFonts w:ascii="Times New Roman" w:hAnsi="Times New Roman" w:cs="Times New Roman"/>
          <w:sz w:val="28"/>
          <w:szCs w:val="28"/>
        </w:rPr>
        <w:t xml:space="preserve">šnje financijske izvještaje za </w:t>
      </w:r>
      <w:r w:rsidR="00965099">
        <w:rPr>
          <w:rFonts w:ascii="Times New Roman" w:hAnsi="Times New Roman" w:cs="Times New Roman"/>
          <w:sz w:val="28"/>
          <w:szCs w:val="28"/>
        </w:rPr>
        <w:t>202</w:t>
      </w:r>
      <w:r w:rsidR="00594ACD">
        <w:rPr>
          <w:rFonts w:ascii="Times New Roman" w:hAnsi="Times New Roman" w:cs="Times New Roman"/>
          <w:sz w:val="28"/>
          <w:szCs w:val="28"/>
        </w:rPr>
        <w:t>1</w:t>
      </w:r>
      <w:r w:rsidR="005D4B54">
        <w:rPr>
          <w:rFonts w:ascii="Times New Roman" w:hAnsi="Times New Roman" w:cs="Times New Roman"/>
          <w:sz w:val="28"/>
          <w:szCs w:val="28"/>
        </w:rPr>
        <w:t>.</w:t>
      </w:r>
      <w:r w:rsidRPr="00D22629">
        <w:rPr>
          <w:rFonts w:ascii="Times New Roman" w:hAnsi="Times New Roman" w:cs="Times New Roman"/>
          <w:sz w:val="28"/>
          <w:szCs w:val="28"/>
        </w:rPr>
        <w:t xml:space="preserve"> godinu</w:t>
      </w:r>
    </w:p>
    <w:p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Pr="00D22629" w:rsidRDefault="00D22629" w:rsidP="00D226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22629">
        <w:rPr>
          <w:rFonts w:ascii="Times New Roman" w:hAnsi="Times New Roman" w:cs="Times New Roman"/>
          <w:sz w:val="20"/>
          <w:szCs w:val="20"/>
        </w:rPr>
        <w:t xml:space="preserve">Nova Gradiška, siječanj </w:t>
      </w:r>
      <w:r w:rsidR="00F62E5D">
        <w:rPr>
          <w:rFonts w:ascii="Times New Roman" w:hAnsi="Times New Roman" w:cs="Times New Roman"/>
          <w:sz w:val="20"/>
          <w:szCs w:val="20"/>
        </w:rPr>
        <w:t>202</w:t>
      </w:r>
      <w:r w:rsidR="00594ACD">
        <w:rPr>
          <w:rFonts w:ascii="Times New Roman" w:hAnsi="Times New Roman" w:cs="Times New Roman"/>
          <w:sz w:val="20"/>
          <w:szCs w:val="20"/>
        </w:rPr>
        <w:t>2</w:t>
      </w:r>
      <w:r w:rsidRPr="00D22629">
        <w:rPr>
          <w:rFonts w:ascii="Times New Roman" w:hAnsi="Times New Roman" w:cs="Times New Roman"/>
          <w:sz w:val="20"/>
          <w:szCs w:val="20"/>
        </w:rPr>
        <w:t>. godine</w:t>
      </w:r>
      <w:r w:rsidRPr="00D22629">
        <w:rPr>
          <w:rFonts w:ascii="Times New Roman" w:hAnsi="Times New Roman" w:cs="Times New Roman"/>
          <w:sz w:val="20"/>
          <w:szCs w:val="20"/>
        </w:rPr>
        <w:br w:type="page"/>
      </w:r>
    </w:p>
    <w:p w:rsidR="00D22629" w:rsidRPr="001C55C5" w:rsidRDefault="00367D58" w:rsidP="00576883">
      <w:pPr>
        <w:pStyle w:val="Bezproreda"/>
        <w:jc w:val="center"/>
        <w:rPr>
          <w:rFonts w:ascii="Times New Roman" w:hAnsi="Times New Roman" w:cs="Times New Roman"/>
          <w:b/>
        </w:rPr>
      </w:pPr>
      <w:r w:rsidRPr="001C55C5">
        <w:rPr>
          <w:rFonts w:ascii="Times New Roman" w:hAnsi="Times New Roman" w:cs="Times New Roman"/>
          <w:b/>
        </w:rPr>
        <w:lastRenderedPageBreak/>
        <w:t>OPĆI PODACI</w:t>
      </w:r>
    </w:p>
    <w:p w:rsidR="00367D58" w:rsidRPr="001C55C5" w:rsidRDefault="00367D58" w:rsidP="00367D58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367D58" w:rsidRPr="001C55C5" w:rsidTr="00942627">
        <w:trPr>
          <w:trHeight w:val="283"/>
        </w:trPr>
        <w:tc>
          <w:tcPr>
            <w:tcW w:w="2268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obveznika:</w:t>
            </w:r>
          </w:p>
        </w:tc>
        <w:tc>
          <w:tcPr>
            <w:tcW w:w="6912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ELEKTROTEHNIČKA I EKONOMSKA ŠKOLA</w:t>
            </w:r>
          </w:p>
        </w:tc>
      </w:tr>
      <w:tr w:rsidR="00367D58" w:rsidRPr="001C55C5" w:rsidTr="00942627">
        <w:trPr>
          <w:trHeight w:val="283"/>
        </w:trPr>
        <w:tc>
          <w:tcPr>
            <w:tcW w:w="2268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Poštanski broj i mjesto:</w:t>
            </w:r>
          </w:p>
        </w:tc>
        <w:tc>
          <w:tcPr>
            <w:tcW w:w="6912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35400  Nova Gradiška</w:t>
            </w:r>
          </w:p>
        </w:tc>
      </w:tr>
      <w:tr w:rsidR="00367D58" w:rsidRPr="001C55C5" w:rsidTr="00942627">
        <w:trPr>
          <w:trHeight w:val="283"/>
        </w:trPr>
        <w:tc>
          <w:tcPr>
            <w:tcW w:w="2268" w:type="dxa"/>
            <w:vAlign w:val="bottom"/>
          </w:tcPr>
          <w:p w:rsidR="00367D58" w:rsidRPr="001C55C5" w:rsidRDefault="00E24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 i kućni broj:</w:t>
            </w:r>
          </w:p>
        </w:tc>
        <w:tc>
          <w:tcPr>
            <w:tcW w:w="6912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Ljudevita Gaja 24</w:t>
            </w:r>
          </w:p>
        </w:tc>
      </w:tr>
      <w:tr w:rsidR="00E2409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broj RKP-a</w:t>
            </w:r>
          </w:p>
        </w:tc>
        <w:tc>
          <w:tcPr>
            <w:tcW w:w="6912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17917</w:t>
            </w:r>
          </w:p>
        </w:tc>
      </w:tr>
      <w:tr w:rsidR="00E2409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Matični broj.</w:t>
            </w:r>
          </w:p>
        </w:tc>
        <w:tc>
          <w:tcPr>
            <w:tcW w:w="6912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03957004</w:t>
            </w:r>
          </w:p>
        </w:tc>
      </w:tr>
      <w:tr w:rsidR="00E2409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OIB: </w:t>
            </w:r>
          </w:p>
        </w:tc>
        <w:tc>
          <w:tcPr>
            <w:tcW w:w="6912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22674231881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center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Razina:</w:t>
            </w:r>
          </w:p>
        </w:tc>
        <w:tc>
          <w:tcPr>
            <w:tcW w:w="6912" w:type="dxa"/>
            <w:vAlign w:val="center"/>
          </w:tcPr>
          <w:p w:rsidR="00942627" w:rsidRPr="001C55C5" w:rsidRDefault="00942627" w:rsidP="009426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31 - proračunski korisnik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JLP(R)S 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 koji obavlja poslove u sklopu funkcija koje se decentrali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iraju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Šifra djelatnosti:</w:t>
            </w:r>
          </w:p>
        </w:tc>
        <w:tc>
          <w:tcPr>
            <w:tcW w:w="6912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8532 - tehničko i strukovno srednje obrazovanje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2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Brodsko-Posavska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Šifra grada/općine:</w:t>
            </w:r>
          </w:p>
        </w:tc>
        <w:tc>
          <w:tcPr>
            <w:tcW w:w="6912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Nova Gradiška</w:t>
            </w:r>
          </w:p>
        </w:tc>
      </w:tr>
    </w:tbl>
    <w:p w:rsidR="00367D58" w:rsidRDefault="00367D58" w:rsidP="00367D58">
      <w:pPr>
        <w:pStyle w:val="Bezproreda"/>
      </w:pPr>
    </w:p>
    <w:p w:rsidR="00D22629" w:rsidRDefault="00D22629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42627" w:rsidRDefault="00942627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42627" w:rsidRDefault="00942627" w:rsidP="00BB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UVODNI DIO</w:t>
      </w:r>
    </w:p>
    <w:p w:rsidR="00942627" w:rsidRDefault="00942627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42627" w:rsidRPr="00175631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Elektrotehnička i ekonomska škola Nova Gradiška posluje u skladu s odredbama Zakona o odgoju i obrazovanju u osnovnoj i srednjoj školi te Statutom škole. </w:t>
      </w:r>
    </w:p>
    <w:p w:rsidR="00BB3D13" w:rsidRPr="00175631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Škola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BB3D13" w:rsidRPr="00175631" w:rsidRDefault="0072783D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Škola nema vlastiti žiro račun</w:t>
      </w:r>
      <w:r w:rsidR="00BB3D13"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D4131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već</w:t>
      </w:r>
      <w:r w:rsidR="00BB3D13"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posluje preko </w:t>
      </w:r>
      <w:r w:rsidR="00D4131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jedinstvenog </w:t>
      </w:r>
      <w:r w:rsidR="00BB3D13"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računa riznice Brodsko-posavske županije.</w:t>
      </w:r>
    </w:p>
    <w:p w:rsidR="00BB3D13" w:rsidRPr="00175631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Ravnateljica škole je Sanja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Müller</w:t>
      </w:r>
      <w:proofErr w:type="spellEnd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-Zoričić, dipl.inf.</w:t>
      </w:r>
    </w:p>
    <w:p w:rsidR="00BB3D13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Sastavljanje Bilješki uz financijske izvještaje obavila je voditeljica računovodstva Jasenka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Podobnik</w:t>
      </w:r>
      <w:proofErr w:type="spellEnd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,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BB3D13" w:rsidRDefault="00BB3D13" w:rsidP="00367D58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B3D13" w:rsidRPr="00942627" w:rsidRDefault="00BB3D13" w:rsidP="00367D58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576883" w:rsidRDefault="00090E9E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BILJEŠKE</w:t>
      </w:r>
    </w:p>
    <w:p w:rsidR="00090E9E" w:rsidRDefault="00090E9E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UZ </w:t>
      </w:r>
      <w:r w:rsidR="00367D58" w:rsidRPr="00367D58">
        <w:rPr>
          <w:rFonts w:ascii="Times New Roman" w:eastAsia="Times New Roman" w:hAnsi="Times New Roman" w:cs="Times New Roman"/>
          <w:b/>
          <w:bCs/>
          <w:lang w:eastAsia="hr-HR"/>
        </w:rPr>
        <w:t>IZVJEŠTAJ O PRIHODIMA I RASHODIMA, PRIMICIMA I IZDACIMA</w:t>
      </w:r>
    </w:p>
    <w:p w:rsidR="00367D58" w:rsidRPr="00367D58" w:rsidRDefault="00367D58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367D58">
        <w:rPr>
          <w:rFonts w:ascii="Times New Roman" w:eastAsia="Times New Roman" w:hAnsi="Times New Roman" w:cs="Times New Roman"/>
          <w:b/>
          <w:bCs/>
          <w:lang w:eastAsia="hr-HR"/>
        </w:rPr>
        <w:t>(OBRAZAC PR-RAS)</w:t>
      </w:r>
    </w:p>
    <w:p w:rsidR="00367D58" w:rsidRDefault="00367D58" w:rsidP="00367D58">
      <w:pPr>
        <w:pStyle w:val="Bezproreda"/>
      </w:pPr>
    </w:p>
    <w:p w:rsidR="00E70074" w:rsidRDefault="00367D58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415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Ukupni prihodi u izvještajnom razdoblju iznose </w:t>
      </w:r>
      <w:r w:rsidR="007415C5" w:rsidRPr="007415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7.804.320</w:t>
      </w:r>
      <w:r w:rsidRPr="007415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 w:rsidR="0064635F" w:rsidRPr="007415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7415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odnose se na:</w:t>
      </w:r>
    </w:p>
    <w:p w:rsidR="00F4105D" w:rsidRDefault="00F4105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9465" w:type="dxa"/>
        <w:tblInd w:w="108" w:type="dxa"/>
        <w:tblLook w:val="04A0" w:firstRow="1" w:lastRow="0" w:firstColumn="1" w:lastColumn="0" w:noHBand="0" w:noVBand="1"/>
      </w:tblPr>
      <w:tblGrid>
        <w:gridCol w:w="420"/>
        <w:gridCol w:w="7802"/>
        <w:gridCol w:w="1243"/>
      </w:tblGrid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iz državnog proračuna-AZOO, NCVVO, ASOO, MZO (dio AOP 064)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229.410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Tekuće pomoći od Ministarstva znanosti i obrazovanja za rashode </w:t>
            </w:r>
            <w:proofErr w:type="spellStart"/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zaposl</w:t>
            </w:r>
            <w:proofErr w:type="spellEnd"/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(dio AOP 064)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6.686.554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 iz državnog proračuna-MZO (dio AOP 065)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7.111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 iz proračuna JLPRS- Grad Nova Gradiška (dio AOP 065)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11.450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iz državnog proračuna temeljem prijenosa EU sredstava-MZO (AOP 070)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57.576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Tekući prijenosi između </w:t>
            </w:r>
            <w:proofErr w:type="spellStart"/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</w:t>
            </w:r>
            <w:proofErr w:type="spellEnd"/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8D5C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korisnika istog proračuna temeljem prijenosa EU (AOP 075)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12.691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prihodi (AOP 112)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8.200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od pruženih usluga (AOP 122)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83.468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od neprofitnih organizacija  (AOP 124)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iz nadležnog proračuna -Brodsko posav</w:t>
            </w:r>
            <w:r w:rsidR="008958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 županija (AOP 130)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706.782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 (AOP 001)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7.803.642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stanova (AOP 307)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678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nefinancijske imovine (AOP 292)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678</w:t>
            </w: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105D" w:rsidRPr="00F4105D" w:rsidTr="00F4105D">
        <w:trPr>
          <w:trHeight w:val="300"/>
        </w:trPr>
        <w:tc>
          <w:tcPr>
            <w:tcW w:w="420" w:type="dxa"/>
            <w:shd w:val="clear" w:color="000000" w:fill="A6A6A6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02" w:type="dxa"/>
            <w:shd w:val="clear" w:color="000000" w:fill="A6A6A6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UKUPNO PRIHODI I PRIMICI (AOP 632) </w:t>
            </w:r>
          </w:p>
        </w:tc>
        <w:tc>
          <w:tcPr>
            <w:tcW w:w="1243" w:type="dxa"/>
            <w:shd w:val="clear" w:color="000000" w:fill="A6A6A6"/>
            <w:noWrap/>
            <w:vAlign w:val="bottom"/>
            <w:hideMark/>
          </w:tcPr>
          <w:p w:rsidR="00F4105D" w:rsidRPr="00F4105D" w:rsidRDefault="00F4105D" w:rsidP="00F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7.804.320</w:t>
            </w:r>
          </w:p>
        </w:tc>
      </w:tr>
    </w:tbl>
    <w:p w:rsidR="00F4105D" w:rsidRPr="007415C5" w:rsidRDefault="00F4105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C70467" w:rsidRPr="00530E75" w:rsidRDefault="00C70467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53488F" w:rsidRDefault="0053488F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7A7F17" w:rsidRDefault="007A7F17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tbl>
      <w:tblPr>
        <w:tblW w:w="7935" w:type="dxa"/>
        <w:tblInd w:w="859" w:type="dxa"/>
        <w:tblLook w:val="04A0" w:firstRow="1" w:lastRow="0" w:firstColumn="1" w:lastColumn="0" w:noHBand="0" w:noVBand="1"/>
      </w:tblPr>
      <w:tblGrid>
        <w:gridCol w:w="7935"/>
      </w:tblGrid>
      <w:tr w:rsidR="00C70467" w:rsidRPr="00530E75" w:rsidTr="00FF35B8">
        <w:trPr>
          <w:trHeight w:val="283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67" w:rsidRPr="00530E75" w:rsidRDefault="00C70467" w:rsidP="0011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</w:tr>
      <w:tr w:rsidR="00C70467" w:rsidRPr="00530E75" w:rsidTr="00F4105D">
        <w:trPr>
          <w:trHeight w:val="283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467" w:rsidRPr="00530E75" w:rsidRDefault="00F4105D" w:rsidP="0011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FB6C18" wp14:editId="525AA41F">
                  <wp:extent cx="4663439" cy="2781300"/>
                  <wp:effectExtent l="0" t="0" r="4445" b="0"/>
                  <wp:docPr id="1" name="Grafiko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9D5ED5-96CF-4F5A-9330-AFC30EB59A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72783D" w:rsidRPr="00530E75" w:rsidRDefault="0072783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72783D" w:rsidRPr="00530E75" w:rsidRDefault="0072783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F70D89" w:rsidRPr="007415C5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415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Ukupni rashodi u izvještajnom razdoblju iznose </w:t>
      </w:r>
      <w:r w:rsidR="007415C5" w:rsidRPr="007415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7.890.687</w:t>
      </w:r>
      <w:r w:rsidRPr="007415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 a odnose se na:</w:t>
      </w:r>
    </w:p>
    <w:p w:rsidR="00E70074" w:rsidRPr="00530E75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  <w:r w:rsidRPr="00530E7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  <w:t xml:space="preserve"> 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420"/>
        <w:gridCol w:w="7440"/>
        <w:gridCol w:w="1600"/>
      </w:tblGrid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 (AOP 147)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6.886.583</w:t>
            </w: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 (AOP 158)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909.954</w:t>
            </w: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 (AOP 191)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39.018</w:t>
            </w: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 (AOP 146)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7.835.555</w:t>
            </w: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 (AOP 357)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55.132</w:t>
            </w: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 (AOP 344)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55.132</w:t>
            </w: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 I IZDACI (AOP 633)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7.890.687</w:t>
            </w: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MANJAK PRIHODA I PRIMITAKA (AOP 635)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-86.367</w:t>
            </w: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 PRIHODA I PRIMITAKA PRENESENI (AOP 636)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30.909</w:t>
            </w:r>
          </w:p>
        </w:tc>
      </w:tr>
      <w:tr w:rsidR="003D6136" w:rsidRPr="003D6136" w:rsidTr="003D61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MANJAK PRIHODA I PRIMITAKA ZA POKRIĆE U SLIJED.RAZDOBLJU (AOP 639)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136" w:rsidRPr="003D6136" w:rsidRDefault="003D6136" w:rsidP="003D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D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-55.458</w:t>
            </w:r>
          </w:p>
        </w:tc>
      </w:tr>
    </w:tbl>
    <w:p w:rsidR="00E70074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53488F" w:rsidRDefault="0053488F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50311" w:rsidRPr="00B47703" w:rsidRDefault="00923C1C" w:rsidP="00367D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AOP 045 – Pomoći iz inozemstva i od subjekata unutar općeg proračuna </w:t>
      </w:r>
    </w:p>
    <w:p w:rsidR="00653512" w:rsidRDefault="00A50311" w:rsidP="00EA3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5031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ći iz inozemstva i od subjekata unutar općeg proračuna ostvareni su u iznosu 7.004.792 kn  što je u odnosu na prethodnu godinu više za 710.686 kn ili 11,3%. U strukturi ukupnih prihoda ovi prihodi čine 89,76% a odnose se na slijedeće: </w:t>
      </w:r>
    </w:p>
    <w:p w:rsidR="00EA3AFC" w:rsidRPr="0099115C" w:rsidRDefault="00EA3AFC" w:rsidP="00EA3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B204E" w:rsidRPr="00C050EB" w:rsidRDefault="009C2D75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</w:pPr>
      <w:r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AOP </w:t>
      </w:r>
      <w:r w:rsid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064</w:t>
      </w:r>
      <w:r w:rsidR="00116712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</w:t>
      </w:r>
      <w:r w:rsidR="00A50311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–</w:t>
      </w:r>
      <w:r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</w:t>
      </w:r>
      <w:r w:rsid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Tekuće p</w:t>
      </w:r>
      <w:r w:rsidR="00A50311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omoći proračunskim korisnicima iz proračuna koji im nije nadlež</w:t>
      </w:r>
      <w:r w:rsidR="005A7B0E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an</w:t>
      </w:r>
    </w:p>
    <w:p w:rsidR="00F76713" w:rsidRDefault="00C050EB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Ovi prihodi se 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>najvećim dijelom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(6.686.554 kn) 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>odnose na prihode iz državnog proračuna odnosno proračuna MZO za financiranje plaća i ostalih rashoda za zaposlene za tekuću godinu. Ovdje su iskazani i prihodi iz državnog proračuna</w:t>
      </w:r>
      <w:r w:rsidR="00B9145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iznosu 225.28</w:t>
      </w:r>
      <w:r w:rsidR="00476E57">
        <w:rPr>
          <w:rFonts w:ascii="Times New Roman" w:eastAsia="Times New Roman" w:hAnsi="Times New Roman" w:cs="Times New Roman"/>
          <w:sz w:val="20"/>
          <w:szCs w:val="20"/>
          <w:lang w:eastAsia="hr-HR"/>
        </w:rPr>
        <w:t>7</w:t>
      </w:r>
      <w:r w:rsidR="00B9145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isplatu razli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 </w:t>
      </w:r>
      <w:r w:rsidR="00530E7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plaća po povoljnijoj osnovici za razdoblje od prosinca 2015. do siječnja 2017. godine </w:t>
      </w:r>
      <w:r w:rsidR="004A0BBE" w:rsidRPr="00601814">
        <w:rPr>
          <w:rFonts w:ascii="Times New Roman" w:eastAsia="Times New Roman" w:hAnsi="Times New Roman" w:cs="Times New Roman"/>
          <w:sz w:val="20"/>
          <w:szCs w:val="20"/>
          <w:lang w:eastAsia="hr-HR"/>
        </w:rPr>
        <w:t>po pravomoćnim sudskim presudama</w:t>
      </w:r>
      <w:r w:rsidR="007970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uvećane za zakonske kamate i parnične troškove</w:t>
      </w:r>
      <w:r w:rsidR="00EA3AF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 slijedeći prihodi iz državnog proračuna:</w:t>
      </w:r>
      <w:r w:rsidR="00F76713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:rsidR="00F76713" w:rsidRPr="0069089C" w:rsidRDefault="004A0BBE" w:rsidP="009243E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C">
        <w:rPr>
          <w:rFonts w:ascii="Times New Roman" w:hAnsi="Times New Roman"/>
          <w:sz w:val="20"/>
          <w:szCs w:val="20"/>
        </w:rPr>
        <w:t>Agencij</w:t>
      </w:r>
      <w:r w:rsidR="00EA3AFC">
        <w:rPr>
          <w:rFonts w:ascii="Times New Roman" w:hAnsi="Times New Roman"/>
          <w:sz w:val="20"/>
          <w:szCs w:val="20"/>
        </w:rPr>
        <w:t>a</w:t>
      </w:r>
      <w:r w:rsidRPr="0069089C">
        <w:rPr>
          <w:rFonts w:ascii="Times New Roman" w:hAnsi="Times New Roman"/>
          <w:sz w:val="20"/>
          <w:szCs w:val="20"/>
        </w:rPr>
        <w:t xml:space="preserve"> za odgoj i obrazovanje</w:t>
      </w:r>
      <w:r w:rsidR="00F76713" w:rsidRPr="0069089C">
        <w:rPr>
          <w:rFonts w:ascii="Times New Roman" w:hAnsi="Times New Roman"/>
          <w:sz w:val="20"/>
          <w:szCs w:val="20"/>
        </w:rPr>
        <w:t xml:space="preserve"> (AZOO)</w:t>
      </w:r>
      <w:r w:rsidRPr="0069089C">
        <w:rPr>
          <w:rFonts w:ascii="Times New Roman" w:hAnsi="Times New Roman"/>
          <w:sz w:val="20"/>
          <w:szCs w:val="20"/>
        </w:rPr>
        <w:t xml:space="preserve"> u iznosu 1.300 kn za rad županijskog stručnog vijeća </w:t>
      </w:r>
    </w:p>
    <w:p w:rsidR="00F76713" w:rsidRPr="0069089C" w:rsidRDefault="00F76713" w:rsidP="009243E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C">
        <w:rPr>
          <w:rFonts w:ascii="Times New Roman" w:hAnsi="Times New Roman"/>
          <w:sz w:val="20"/>
          <w:szCs w:val="20"/>
        </w:rPr>
        <w:t>Nacionalni centar za vanjsko vrednovanje (NCVVO) u iznosu</w:t>
      </w:r>
      <w:r w:rsidR="004A0BBE" w:rsidRPr="0069089C">
        <w:rPr>
          <w:rFonts w:ascii="Times New Roman" w:hAnsi="Times New Roman"/>
          <w:sz w:val="20"/>
          <w:szCs w:val="20"/>
        </w:rPr>
        <w:t xml:space="preserve"> 208 kn za refundaciju troškova prijevoza </w:t>
      </w:r>
      <w:r w:rsidR="00FF35B8" w:rsidRPr="0069089C">
        <w:rPr>
          <w:rFonts w:ascii="Times New Roman" w:hAnsi="Times New Roman"/>
          <w:sz w:val="20"/>
          <w:szCs w:val="20"/>
        </w:rPr>
        <w:t>nastavnika</w:t>
      </w:r>
      <w:r w:rsidR="004A0BBE" w:rsidRPr="0069089C">
        <w:rPr>
          <w:rFonts w:ascii="Times New Roman" w:hAnsi="Times New Roman"/>
          <w:sz w:val="20"/>
          <w:szCs w:val="20"/>
        </w:rPr>
        <w:t xml:space="preserve"> koji sudjeluju u radu </w:t>
      </w:r>
      <w:r w:rsidRPr="0069089C">
        <w:rPr>
          <w:rFonts w:ascii="Times New Roman" w:hAnsi="Times New Roman"/>
          <w:sz w:val="20"/>
          <w:szCs w:val="20"/>
        </w:rPr>
        <w:t>centra</w:t>
      </w:r>
      <w:r w:rsidR="00FF35B8" w:rsidRPr="0069089C">
        <w:rPr>
          <w:rFonts w:ascii="Times New Roman" w:hAnsi="Times New Roman"/>
          <w:sz w:val="20"/>
          <w:szCs w:val="20"/>
        </w:rPr>
        <w:t xml:space="preserve"> (</w:t>
      </w:r>
      <w:r w:rsidRPr="0069089C">
        <w:rPr>
          <w:rFonts w:ascii="Times New Roman" w:hAnsi="Times New Roman"/>
          <w:sz w:val="20"/>
          <w:szCs w:val="20"/>
        </w:rPr>
        <w:t>ispravak ispita državne mature</w:t>
      </w:r>
      <w:r w:rsidR="00FF35B8" w:rsidRPr="0069089C">
        <w:rPr>
          <w:rFonts w:ascii="Times New Roman" w:hAnsi="Times New Roman"/>
          <w:sz w:val="20"/>
          <w:szCs w:val="20"/>
        </w:rPr>
        <w:t>)</w:t>
      </w:r>
    </w:p>
    <w:p w:rsidR="009243E4" w:rsidRPr="0069089C" w:rsidRDefault="004A0BBE" w:rsidP="009243E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C">
        <w:rPr>
          <w:rFonts w:ascii="Times New Roman" w:hAnsi="Times New Roman"/>
          <w:sz w:val="20"/>
          <w:szCs w:val="20"/>
        </w:rPr>
        <w:t>Agencij</w:t>
      </w:r>
      <w:r w:rsidR="00EA3AFC">
        <w:rPr>
          <w:rFonts w:ascii="Times New Roman" w:hAnsi="Times New Roman"/>
          <w:sz w:val="20"/>
          <w:szCs w:val="20"/>
        </w:rPr>
        <w:t>a</w:t>
      </w:r>
      <w:r w:rsidRPr="0069089C">
        <w:rPr>
          <w:rFonts w:ascii="Times New Roman" w:hAnsi="Times New Roman"/>
          <w:sz w:val="20"/>
          <w:szCs w:val="20"/>
        </w:rPr>
        <w:t xml:space="preserve"> za strukovno obrazovanje</w:t>
      </w:r>
      <w:r w:rsidR="00530E75" w:rsidRPr="0069089C">
        <w:rPr>
          <w:rFonts w:ascii="Times New Roman" w:hAnsi="Times New Roman"/>
          <w:sz w:val="20"/>
          <w:szCs w:val="20"/>
        </w:rPr>
        <w:t xml:space="preserve"> (ASOO)</w:t>
      </w:r>
      <w:r w:rsidR="009243E4" w:rsidRPr="0069089C">
        <w:rPr>
          <w:rFonts w:ascii="Times New Roman" w:hAnsi="Times New Roman"/>
          <w:sz w:val="20"/>
          <w:szCs w:val="20"/>
        </w:rPr>
        <w:t xml:space="preserve"> za refundaciju troškova državnog natjecanja učenika strukovnih škola </w:t>
      </w:r>
      <w:proofErr w:type="spellStart"/>
      <w:r w:rsidR="009243E4" w:rsidRPr="0069089C">
        <w:rPr>
          <w:rFonts w:ascii="Times New Roman" w:hAnsi="Times New Roman"/>
          <w:sz w:val="20"/>
          <w:szCs w:val="20"/>
        </w:rPr>
        <w:t>WorldSkills</w:t>
      </w:r>
      <w:proofErr w:type="spellEnd"/>
      <w:r w:rsidR="009243E4" w:rsidRPr="0069089C">
        <w:rPr>
          <w:rFonts w:ascii="Times New Roman" w:hAnsi="Times New Roman"/>
          <w:sz w:val="20"/>
          <w:szCs w:val="20"/>
        </w:rPr>
        <w:t xml:space="preserve"> 2021</w:t>
      </w:r>
      <w:r w:rsidR="00FF35B8" w:rsidRPr="0069089C">
        <w:rPr>
          <w:rFonts w:ascii="Times New Roman" w:hAnsi="Times New Roman"/>
          <w:sz w:val="20"/>
          <w:szCs w:val="20"/>
        </w:rPr>
        <w:t>.</w:t>
      </w:r>
      <w:r w:rsidR="009243E4" w:rsidRPr="0069089C">
        <w:rPr>
          <w:rFonts w:ascii="Times New Roman" w:hAnsi="Times New Roman"/>
          <w:sz w:val="20"/>
          <w:szCs w:val="20"/>
        </w:rPr>
        <w:t xml:space="preserve"> u iznosu </w:t>
      </w:r>
      <w:r w:rsidR="0069089C" w:rsidRPr="0069089C">
        <w:rPr>
          <w:rFonts w:ascii="Times New Roman" w:hAnsi="Times New Roman"/>
          <w:sz w:val="20"/>
          <w:szCs w:val="20"/>
        </w:rPr>
        <w:t>5</w:t>
      </w:r>
      <w:r w:rsidR="0069089C">
        <w:rPr>
          <w:rFonts w:ascii="Times New Roman" w:hAnsi="Times New Roman"/>
          <w:sz w:val="20"/>
          <w:szCs w:val="20"/>
        </w:rPr>
        <w:t>70</w:t>
      </w:r>
      <w:r w:rsidR="009243E4" w:rsidRPr="0069089C">
        <w:rPr>
          <w:rFonts w:ascii="Times New Roman" w:hAnsi="Times New Roman"/>
          <w:sz w:val="20"/>
          <w:szCs w:val="20"/>
        </w:rPr>
        <w:t xml:space="preserve"> kn</w:t>
      </w:r>
    </w:p>
    <w:p w:rsidR="009243E4" w:rsidRPr="009243E4" w:rsidRDefault="009243E4" w:rsidP="009243E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89C">
        <w:rPr>
          <w:rFonts w:ascii="Times New Roman" w:hAnsi="Times New Roman"/>
          <w:sz w:val="20"/>
          <w:szCs w:val="20"/>
        </w:rPr>
        <w:t>MZO za nadoknadu troškova testiranja</w:t>
      </w:r>
      <w:r w:rsidRPr="009243E4">
        <w:rPr>
          <w:rFonts w:ascii="Times New Roman" w:hAnsi="Times New Roman"/>
          <w:sz w:val="20"/>
          <w:szCs w:val="20"/>
        </w:rPr>
        <w:t xml:space="preserve"> zaposlenika za mjesec studeni u iznosu 2.045 kn</w:t>
      </w:r>
    </w:p>
    <w:p w:rsidR="009243E4" w:rsidRDefault="009243E4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243E4" w:rsidRDefault="009243E4" w:rsidP="009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A3AF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lastRenderedPageBreak/>
        <w:t xml:space="preserve">Kapitalne pomoći </w:t>
      </w:r>
      <w:r w:rsidR="00EA3AFC" w:rsidRPr="00EA3AF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iz proračuna koji nije nadležan </w:t>
      </w:r>
      <w:r w:rsidRPr="00EA3AF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(AOP 065</w:t>
      </w:r>
      <w:r w:rsidRPr="00FF35B8">
        <w:rPr>
          <w:rFonts w:ascii="Times New Roman" w:eastAsia="Times New Roman" w:hAnsi="Times New Roman" w:cs="Times New Roman"/>
          <w:sz w:val="20"/>
          <w:szCs w:val="20"/>
          <w:lang w:eastAsia="hr-HR"/>
        </w:rPr>
        <w:t>) ostvarene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 državnog proračuna u okviru razdjela 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Ministarstv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znanosti i obrazovanja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(MZO) za nabavu udžbenika učenicima koji su članovi kućanstva koje je korisnik zajamčene minimalne naknade u iznosu 3.111 kn te za opremanje školske knjižnice obveznom lektirom u iznosu 4.000 kn.</w:t>
      </w:r>
    </w:p>
    <w:p w:rsidR="009243E4" w:rsidRDefault="009243E4" w:rsidP="009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Iz proračuna Grada Nova Gradiška ostvarena je kapitalna pomoć u iznosu 11.450 kn za opremanje nastavno-sportske dvorane sportskom opremom.</w:t>
      </w:r>
      <w:r w:rsid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4E7E36" w:rsidRDefault="004E7E36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A0BBE" w:rsidRPr="00C050EB" w:rsidRDefault="004E7E36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</w:pPr>
      <w:r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AOP </w:t>
      </w:r>
      <w:r w:rsidR="00FF35B8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069</w:t>
      </w:r>
      <w:r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– </w:t>
      </w:r>
      <w:r w:rsidR="00FF35B8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P</w:t>
      </w:r>
      <w:r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omoći temeljem prijenosa EU sredstava</w:t>
      </w:r>
    </w:p>
    <w:p w:rsidR="00A226C0" w:rsidRDefault="004E7E36" w:rsidP="004E7E3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>Na ovoj poziciji su iskazana sredstva MZO za  plaće zaposlenika koji rade na projektu Regionalni centar kompetencija</w:t>
      </w:r>
      <w:r w:rsidR="007A7F17"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radno vrijeme na projektu</w:t>
      </w:r>
      <w:r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koja </w:t>
      </w:r>
      <w:r w:rsidR="007A7F17"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se financira iz Europskog socijalnog fonda </w:t>
      </w:r>
      <w:r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>u visini 85%, dok se 15% odnosi na</w:t>
      </w:r>
      <w:r w:rsidRPr="00A226C0">
        <w:rPr>
          <w:rFonts w:ascii="Times New Roman" w:hAnsi="Times New Roman"/>
          <w:bCs/>
          <w:sz w:val="20"/>
          <w:szCs w:val="20"/>
        </w:rPr>
        <w:t xml:space="preserve"> nacionalno sufinanciranje odnosno sredstva državnog proračuna</w:t>
      </w:r>
      <w:r w:rsidR="00FF35B8" w:rsidRPr="00A226C0">
        <w:rPr>
          <w:rFonts w:ascii="Times New Roman" w:hAnsi="Times New Roman"/>
          <w:bCs/>
          <w:sz w:val="20"/>
          <w:szCs w:val="20"/>
        </w:rPr>
        <w:t xml:space="preserve"> te su iskazana na poziciji AOP 064</w:t>
      </w:r>
      <w:r w:rsidRPr="00A226C0">
        <w:rPr>
          <w:rFonts w:ascii="Times New Roman" w:hAnsi="Times New Roman"/>
          <w:bCs/>
          <w:sz w:val="20"/>
          <w:szCs w:val="20"/>
        </w:rPr>
        <w:t xml:space="preserve">. Za dio koji se odnosi na EU sredstva prihodi su iskazani na ovoj </w:t>
      </w:r>
      <w:r w:rsidR="00530E75" w:rsidRPr="00A226C0">
        <w:rPr>
          <w:rFonts w:ascii="Times New Roman" w:hAnsi="Times New Roman"/>
          <w:bCs/>
          <w:sz w:val="20"/>
          <w:szCs w:val="20"/>
        </w:rPr>
        <w:t>poziciji.</w:t>
      </w:r>
    </w:p>
    <w:p w:rsidR="004E7E36" w:rsidRPr="00601814" w:rsidRDefault="004E7E36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E7E36" w:rsidRPr="00EA3AFC" w:rsidRDefault="004E7E36" w:rsidP="004E7E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A3AFC">
        <w:rPr>
          <w:rFonts w:ascii="Times New Roman" w:hAnsi="Times New Roman" w:cs="Times New Roman"/>
          <w:i/>
          <w:sz w:val="20"/>
          <w:szCs w:val="20"/>
          <w:u w:val="single"/>
        </w:rPr>
        <w:t>AOP 072 – Prijenosi između proračunskih korisnika istog proračuna</w:t>
      </w:r>
    </w:p>
    <w:p w:rsidR="00A226C0" w:rsidRDefault="004E7E36" w:rsidP="004E7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814">
        <w:rPr>
          <w:rFonts w:ascii="Times New Roman" w:hAnsi="Times New Roman" w:cs="Times New Roman"/>
          <w:sz w:val="20"/>
          <w:szCs w:val="20"/>
        </w:rPr>
        <w:t xml:space="preserve">Na ovoj poziciji iskazana su sredstva ostvarena od Tehničke škole Slavonski Brod za pokriće izdataka službenog puta u sklopu projekta Regionalni centar kompetentnosti –„Slavonika 5.1“ u iznosu </w:t>
      </w:r>
      <w:r>
        <w:rPr>
          <w:rFonts w:ascii="Times New Roman" w:hAnsi="Times New Roman" w:cs="Times New Roman"/>
          <w:sz w:val="20"/>
          <w:szCs w:val="20"/>
        </w:rPr>
        <w:t>4.748</w:t>
      </w:r>
      <w:r w:rsidRPr="00601814">
        <w:rPr>
          <w:rFonts w:ascii="Times New Roman" w:hAnsi="Times New Roman" w:cs="Times New Roman"/>
          <w:sz w:val="20"/>
          <w:szCs w:val="20"/>
        </w:rPr>
        <w:t xml:space="preserve"> kn</w:t>
      </w:r>
      <w:r w:rsidR="007A7F17">
        <w:rPr>
          <w:rFonts w:ascii="Times New Roman" w:hAnsi="Times New Roman" w:cs="Times New Roman"/>
          <w:sz w:val="20"/>
          <w:szCs w:val="20"/>
        </w:rPr>
        <w:t xml:space="preserve"> te </w:t>
      </w:r>
      <w:r w:rsidR="00A226C0">
        <w:rPr>
          <w:rFonts w:ascii="Times New Roman" w:hAnsi="Times New Roman" w:cs="Times New Roman"/>
          <w:sz w:val="20"/>
          <w:szCs w:val="20"/>
        </w:rPr>
        <w:t>prihodi</w:t>
      </w:r>
      <w:r w:rsidR="007A7F17">
        <w:rPr>
          <w:rFonts w:ascii="Times New Roman" w:hAnsi="Times New Roman" w:cs="Times New Roman"/>
          <w:sz w:val="20"/>
          <w:szCs w:val="20"/>
        </w:rPr>
        <w:t xml:space="preserve"> za plaće pomoćnika u nastavi</w:t>
      </w:r>
      <w:r w:rsidR="00EA3AFC">
        <w:rPr>
          <w:rFonts w:ascii="Times New Roman" w:hAnsi="Times New Roman" w:cs="Times New Roman"/>
          <w:sz w:val="20"/>
          <w:szCs w:val="20"/>
        </w:rPr>
        <w:t xml:space="preserve"> u iznosu 7.943 kn</w:t>
      </w:r>
      <w:r w:rsidR="007A7F17">
        <w:rPr>
          <w:rFonts w:ascii="Times New Roman" w:hAnsi="Times New Roman" w:cs="Times New Roman"/>
          <w:sz w:val="20"/>
          <w:szCs w:val="20"/>
        </w:rPr>
        <w:t xml:space="preserve"> </w:t>
      </w:r>
      <w:r w:rsidR="00A226C0">
        <w:rPr>
          <w:rFonts w:ascii="Times New Roman" w:hAnsi="Times New Roman" w:cs="Times New Roman"/>
          <w:sz w:val="20"/>
          <w:szCs w:val="20"/>
        </w:rPr>
        <w:t xml:space="preserve"> za koje sredstva osigurava osnivač u okviru projekta „S osmijehom u školu“ financiranog od strane E</w:t>
      </w:r>
      <w:r w:rsidR="00EA3AFC">
        <w:rPr>
          <w:rFonts w:ascii="Times New Roman" w:hAnsi="Times New Roman" w:cs="Times New Roman"/>
          <w:sz w:val="20"/>
          <w:szCs w:val="20"/>
        </w:rPr>
        <w:t>uropskog socijalnog fonda</w:t>
      </w:r>
      <w:r w:rsidR="00A226C0">
        <w:rPr>
          <w:rFonts w:ascii="Times New Roman" w:hAnsi="Times New Roman" w:cs="Times New Roman"/>
          <w:sz w:val="20"/>
          <w:szCs w:val="20"/>
        </w:rPr>
        <w:t>.</w:t>
      </w:r>
    </w:p>
    <w:p w:rsidR="004E7E36" w:rsidRDefault="004E7E36" w:rsidP="004E7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C7D" w:rsidRPr="00B47703" w:rsidRDefault="00AE6AEA" w:rsidP="00375422">
      <w:pPr>
        <w:pStyle w:val="Bezproreda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hr-HR"/>
        </w:rPr>
      </w:pPr>
      <w:r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AOP 11</w:t>
      </w:r>
      <w:r w:rsidR="00623716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2</w:t>
      </w:r>
      <w:r w:rsidR="00116712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-</w:t>
      </w:r>
      <w:r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="00D22629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</w:t>
      </w:r>
      <w:r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stali nespomenuti prihodi</w:t>
      </w:r>
    </w:p>
    <w:p w:rsidR="00140C7D" w:rsidRDefault="001F15A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F15AF">
        <w:rPr>
          <w:rFonts w:ascii="Times New Roman" w:hAnsi="Times New Roman" w:cs="Times New Roman"/>
          <w:sz w:val="20"/>
          <w:szCs w:val="20"/>
        </w:rPr>
        <w:t>Ostal</w:t>
      </w:r>
      <w:r>
        <w:rPr>
          <w:rFonts w:ascii="Times New Roman" w:hAnsi="Times New Roman" w:cs="Times New Roman"/>
          <w:sz w:val="20"/>
          <w:szCs w:val="20"/>
        </w:rPr>
        <w:t>i nespomenuti prihodi</w:t>
      </w:r>
      <w:r w:rsidR="00EA3AFC">
        <w:rPr>
          <w:rFonts w:ascii="Times New Roman" w:hAnsi="Times New Roman" w:cs="Times New Roman"/>
          <w:sz w:val="20"/>
          <w:szCs w:val="20"/>
        </w:rPr>
        <w:t xml:space="preserve"> ostvareni su u iznosu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474E">
        <w:rPr>
          <w:rFonts w:ascii="Times New Roman" w:hAnsi="Times New Roman" w:cs="Times New Roman"/>
          <w:sz w:val="20"/>
          <w:szCs w:val="20"/>
        </w:rPr>
        <w:t>8.</w:t>
      </w:r>
      <w:r w:rsidR="00EA3AFC">
        <w:rPr>
          <w:rFonts w:ascii="Times New Roman" w:hAnsi="Times New Roman" w:cs="Times New Roman"/>
          <w:sz w:val="20"/>
          <w:szCs w:val="20"/>
        </w:rPr>
        <w:t>2</w:t>
      </w:r>
      <w:r w:rsidR="0059474E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kn</w:t>
      </w:r>
      <w:r w:rsidR="00EA3AFC">
        <w:rPr>
          <w:rFonts w:ascii="Times New Roman" w:hAnsi="Times New Roman" w:cs="Times New Roman"/>
          <w:sz w:val="20"/>
          <w:szCs w:val="20"/>
        </w:rPr>
        <w:t xml:space="preserve"> a u strukturi ukupnih prihoda čine 0,11%. Riječ je o prihodima od učenika</w:t>
      </w:r>
      <w:r>
        <w:rPr>
          <w:rFonts w:ascii="Times New Roman" w:hAnsi="Times New Roman" w:cs="Times New Roman"/>
          <w:sz w:val="20"/>
          <w:szCs w:val="20"/>
        </w:rPr>
        <w:t xml:space="preserve"> za osiguranje</w:t>
      </w:r>
      <w:r w:rsidR="006237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ostale troškove</w:t>
      </w:r>
      <w:r w:rsidR="00EA3AFC">
        <w:rPr>
          <w:rFonts w:ascii="Times New Roman" w:hAnsi="Times New Roman" w:cs="Times New Roman"/>
          <w:sz w:val="20"/>
          <w:szCs w:val="20"/>
        </w:rPr>
        <w:t xml:space="preserve"> u iznosu 8.100</w:t>
      </w:r>
      <w:r w:rsidR="00F16F6C">
        <w:rPr>
          <w:rFonts w:ascii="Times New Roman" w:hAnsi="Times New Roman" w:cs="Times New Roman"/>
          <w:sz w:val="20"/>
          <w:szCs w:val="20"/>
        </w:rPr>
        <w:t xml:space="preserve"> kn</w:t>
      </w:r>
      <w:r w:rsidR="00EA3AFC">
        <w:rPr>
          <w:rFonts w:ascii="Times New Roman" w:hAnsi="Times New Roman" w:cs="Times New Roman"/>
          <w:sz w:val="20"/>
          <w:szCs w:val="20"/>
        </w:rPr>
        <w:t xml:space="preserve"> </w:t>
      </w:r>
      <w:r w:rsidR="0059474E">
        <w:rPr>
          <w:rFonts w:ascii="Times New Roman" w:hAnsi="Times New Roman" w:cs="Times New Roman"/>
          <w:sz w:val="20"/>
          <w:szCs w:val="20"/>
        </w:rPr>
        <w:t>te 100 kn za izradu duplikata svjedodžbi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75C13" w:rsidRPr="00E178BA">
        <w:rPr>
          <w:rFonts w:ascii="Times New Roman" w:hAnsi="Times New Roman" w:cs="Times New Roman"/>
          <w:sz w:val="20"/>
          <w:szCs w:val="20"/>
        </w:rPr>
        <w:t>Ova pozicija</w:t>
      </w:r>
      <w:r w:rsidR="004612A6">
        <w:rPr>
          <w:rFonts w:ascii="Times New Roman" w:hAnsi="Times New Roman" w:cs="Times New Roman"/>
          <w:sz w:val="20"/>
          <w:szCs w:val="20"/>
        </w:rPr>
        <w:t xml:space="preserve"> je </w:t>
      </w:r>
      <w:r w:rsidR="00375C13" w:rsidRPr="00E178BA">
        <w:rPr>
          <w:rFonts w:ascii="Times New Roman" w:hAnsi="Times New Roman" w:cs="Times New Roman"/>
          <w:sz w:val="20"/>
          <w:szCs w:val="20"/>
        </w:rPr>
        <w:t xml:space="preserve"> </w:t>
      </w:r>
      <w:r w:rsidR="00623716" w:rsidRPr="00E178BA">
        <w:rPr>
          <w:rFonts w:ascii="Times New Roman" w:hAnsi="Times New Roman" w:cs="Times New Roman"/>
          <w:sz w:val="20"/>
          <w:szCs w:val="20"/>
        </w:rPr>
        <w:t xml:space="preserve">smanjena </w:t>
      </w:r>
      <w:r w:rsidR="004612A6">
        <w:rPr>
          <w:rFonts w:ascii="Times New Roman" w:hAnsi="Times New Roman" w:cs="Times New Roman"/>
          <w:sz w:val="20"/>
          <w:szCs w:val="20"/>
        </w:rPr>
        <w:t xml:space="preserve">u </w:t>
      </w:r>
      <w:r w:rsidR="00375C13" w:rsidRPr="00E178BA">
        <w:rPr>
          <w:rFonts w:ascii="Times New Roman" w:hAnsi="Times New Roman" w:cs="Times New Roman"/>
          <w:sz w:val="20"/>
          <w:szCs w:val="20"/>
        </w:rPr>
        <w:t xml:space="preserve">odnosu na prethodnu godinu za </w:t>
      </w:r>
      <w:r w:rsidR="00623716" w:rsidRPr="00E178BA">
        <w:rPr>
          <w:rFonts w:ascii="Times New Roman" w:hAnsi="Times New Roman" w:cs="Times New Roman"/>
          <w:sz w:val="20"/>
          <w:szCs w:val="20"/>
        </w:rPr>
        <w:t>3.290</w:t>
      </w:r>
      <w:r w:rsidR="00375C13" w:rsidRPr="00E178BA">
        <w:rPr>
          <w:rFonts w:ascii="Times New Roman" w:hAnsi="Times New Roman" w:cs="Times New Roman"/>
          <w:sz w:val="20"/>
          <w:szCs w:val="20"/>
        </w:rPr>
        <w:t xml:space="preserve"> kn ili </w:t>
      </w:r>
      <w:r w:rsidR="00623716" w:rsidRPr="00E178BA">
        <w:rPr>
          <w:rFonts w:ascii="Times New Roman" w:hAnsi="Times New Roman" w:cs="Times New Roman"/>
          <w:sz w:val="20"/>
          <w:szCs w:val="20"/>
        </w:rPr>
        <w:t>28,6</w:t>
      </w:r>
      <w:r w:rsidR="00375C13" w:rsidRPr="00E178BA">
        <w:rPr>
          <w:rFonts w:ascii="Times New Roman" w:hAnsi="Times New Roman" w:cs="Times New Roman"/>
          <w:sz w:val="20"/>
          <w:szCs w:val="20"/>
        </w:rPr>
        <w:t>%.</w:t>
      </w:r>
      <w:r w:rsidR="00623716" w:rsidRPr="00E178BA">
        <w:rPr>
          <w:rFonts w:ascii="Times New Roman" w:hAnsi="Times New Roman" w:cs="Times New Roman"/>
          <w:sz w:val="20"/>
          <w:szCs w:val="20"/>
        </w:rPr>
        <w:t>U prethodnoj godini na ovoj poziciji su uz prihode od učenika bili iskazani i prihodi od naplate štete od osiguravajućeg</w:t>
      </w:r>
      <w:r w:rsidR="00623716">
        <w:rPr>
          <w:rFonts w:ascii="Times New Roman" w:hAnsi="Times New Roman" w:cs="Times New Roman"/>
          <w:sz w:val="20"/>
          <w:szCs w:val="20"/>
        </w:rPr>
        <w:t xml:space="preserve"> društva.</w:t>
      </w:r>
    </w:p>
    <w:p w:rsidR="00A226C0" w:rsidRPr="00BB17B0" w:rsidRDefault="00A226C0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417ED" w:rsidRPr="00B47703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AOP 12</w:t>
      </w:r>
      <w:r w:rsidR="00623716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2 </w:t>
      </w:r>
      <w:r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- Prihodi od pruženih usluga</w:t>
      </w:r>
    </w:p>
    <w:p w:rsidR="00965099" w:rsidRDefault="007417ED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Vlastiti prihodi od pruženih usluga ostvareni su u iznosu </w:t>
      </w:r>
      <w:r w:rsidR="0059474E"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>83.468</w:t>
      </w:r>
      <w:r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</w:t>
      </w:r>
      <w:r w:rsidR="004612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čine 1,07% ukupnih prihoda. U</w:t>
      </w:r>
      <w:r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odnosu na </w:t>
      </w:r>
      <w:r w:rsidR="004612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prethodnu godinu ovi prihodi su povećani za </w:t>
      </w:r>
      <w:r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612A6">
        <w:rPr>
          <w:rFonts w:ascii="Times New Roman" w:eastAsia="Times New Roman" w:hAnsi="Times New Roman" w:cs="Times New Roman"/>
          <w:sz w:val="20"/>
          <w:szCs w:val="20"/>
          <w:lang w:eastAsia="hr-HR"/>
        </w:rPr>
        <w:t>53.709</w:t>
      </w:r>
      <w:r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ili </w:t>
      </w:r>
      <w:r w:rsidR="00623716"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>180,5</w:t>
      </w:r>
      <w:r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%. </w:t>
      </w:r>
      <w:r w:rsidR="0059474E"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prethodnoj godini zbog uvođenja </w:t>
      </w:r>
      <w:proofErr w:type="spellStart"/>
      <w:r w:rsidR="0059474E"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>lockdowna</w:t>
      </w:r>
      <w:proofErr w:type="spellEnd"/>
      <w:r w:rsidR="0059474E"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uslijed </w:t>
      </w:r>
      <w:r w:rsidR="00A12AA8">
        <w:rPr>
          <w:rFonts w:ascii="Times New Roman" w:eastAsia="Times New Roman" w:hAnsi="Times New Roman" w:cs="Times New Roman"/>
          <w:sz w:val="20"/>
          <w:szCs w:val="20"/>
          <w:lang w:eastAsia="hr-HR"/>
        </w:rPr>
        <w:t>epidemije</w:t>
      </w:r>
      <w:r w:rsidR="0059474E"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59474E"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>corona</w:t>
      </w:r>
      <w:proofErr w:type="spellEnd"/>
      <w:r w:rsidR="0059474E"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virusa te zbog rekonstrukcije zgrade</w:t>
      </w:r>
      <w:r w:rsidR="00476E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9474E" w:rsidRPr="00623716">
        <w:rPr>
          <w:rFonts w:ascii="Times New Roman" w:eastAsia="Times New Roman" w:hAnsi="Times New Roman" w:cs="Times New Roman"/>
          <w:sz w:val="20"/>
          <w:szCs w:val="20"/>
          <w:lang w:eastAsia="hr-HR"/>
        </w:rPr>
        <w:t>škola</w:t>
      </w:r>
      <w:r w:rsidR="0059474E" w:rsidRPr="006018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nije mogla sportsku dvoranu davati na korištenje vanjskim korisnicima, dok je u ovoj godini usluga bila omogućena uz poštivanje epidemioloških mjera.</w:t>
      </w:r>
    </w:p>
    <w:p w:rsidR="00A226C0" w:rsidRPr="00E178BA" w:rsidRDefault="00737E47" w:rsidP="005D1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6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Prihodi od najma dvorane i školskog prostora iskazani su u iznosu </w:t>
      </w:r>
      <w:r w:rsidR="0059474E">
        <w:rPr>
          <w:rFonts w:ascii="Times New Roman" w:eastAsia="Times New Roman" w:hAnsi="Times New Roman" w:cs="Times New Roman"/>
          <w:sz w:val="20"/>
          <w:szCs w:val="20"/>
          <w:lang w:eastAsia="hr-HR"/>
        </w:rPr>
        <w:t>36.384</w:t>
      </w:r>
      <w:r w:rsidRPr="00B936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(naplaćeni u iznosu </w:t>
      </w:r>
      <w:r w:rsidR="0059474E">
        <w:rPr>
          <w:rFonts w:ascii="Times New Roman" w:eastAsia="Times New Roman" w:hAnsi="Times New Roman" w:cs="Times New Roman"/>
          <w:sz w:val="20"/>
          <w:szCs w:val="20"/>
          <w:lang w:eastAsia="hr-HR"/>
        </w:rPr>
        <w:t>51.977</w:t>
      </w:r>
      <w:r w:rsidRPr="00B936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te umanjeni za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B936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0% prihoda BPŽ koji iznose </w:t>
      </w:r>
      <w:r w:rsidR="0059474E">
        <w:rPr>
          <w:rFonts w:ascii="Times New Roman" w:eastAsia="Times New Roman" w:hAnsi="Times New Roman" w:cs="Times New Roman"/>
          <w:sz w:val="20"/>
          <w:szCs w:val="20"/>
          <w:lang w:eastAsia="hr-HR"/>
        </w:rPr>
        <w:t>15.593</w:t>
      </w:r>
      <w:r w:rsidRPr="00B936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kn.)</w:t>
      </w:r>
      <w:r w:rsidR="00476E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dok su p</w:t>
      </w:r>
      <w:r w:rsidRPr="00B936AB">
        <w:rPr>
          <w:rFonts w:ascii="Times New Roman" w:hAnsi="Times New Roman" w:cs="Times New Roman"/>
          <w:color w:val="000000"/>
          <w:sz w:val="20"/>
          <w:szCs w:val="20"/>
        </w:rPr>
        <w:t xml:space="preserve">rihodi od usluga pomoćno-tehničkog osoblja ostvareni su u iznosu </w:t>
      </w:r>
      <w:r w:rsidR="0059474E">
        <w:rPr>
          <w:rFonts w:ascii="Times New Roman" w:hAnsi="Times New Roman" w:cs="Times New Roman"/>
          <w:color w:val="000000"/>
          <w:sz w:val="20"/>
          <w:szCs w:val="20"/>
        </w:rPr>
        <w:t>6.100</w:t>
      </w:r>
      <w:r w:rsidRPr="00B936AB">
        <w:rPr>
          <w:rFonts w:ascii="Times New Roman" w:hAnsi="Times New Roman" w:cs="Times New Roman"/>
          <w:color w:val="000000"/>
          <w:sz w:val="20"/>
          <w:szCs w:val="20"/>
        </w:rPr>
        <w:t xml:space="preserve"> kn.</w:t>
      </w:r>
      <w:r w:rsidR="00476E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A1E25">
        <w:rPr>
          <w:rFonts w:ascii="Times New Roman" w:eastAsia="Times New Roman" w:hAnsi="Times New Roman" w:cs="Times New Roman"/>
          <w:sz w:val="20"/>
          <w:szCs w:val="20"/>
          <w:lang w:eastAsia="hr-HR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rihodi od učeničkog servisa</w:t>
      </w:r>
      <w:r w:rsidR="001A1E2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ostvareni su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iznosu </w:t>
      </w:r>
      <w:r w:rsidR="0059474E">
        <w:rPr>
          <w:rFonts w:ascii="Times New Roman" w:eastAsia="Times New Roman" w:hAnsi="Times New Roman" w:cs="Times New Roman"/>
          <w:sz w:val="20"/>
          <w:szCs w:val="20"/>
          <w:lang w:eastAsia="hr-HR"/>
        </w:rPr>
        <w:t>40.98</w:t>
      </w:r>
      <w:r w:rsidR="00E178BA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="0059474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kn </w:t>
      </w:r>
      <w:r w:rsidR="001A1E25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iskazani </w:t>
      </w:r>
      <w:r w:rsidR="001A1E2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 bruto načelu</w:t>
      </w:r>
      <w:r w:rsidRPr="00E178BA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59474E" w:rsidRPr="00E178B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ovi prihodi su povećani u odnosu na prethodnu godinu jer je više učenika radilo preko učeničkog servisa</w:t>
      </w:r>
    </w:p>
    <w:p w:rsidR="00F21FF8" w:rsidRPr="0008488C" w:rsidRDefault="00F21FF8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0709B" w:rsidRPr="00B47703" w:rsidRDefault="00475EC8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AOP 1</w:t>
      </w:r>
      <w:r w:rsidR="00E178BA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24</w:t>
      </w:r>
      <w:r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="00E178BA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–</w:t>
      </w:r>
      <w:r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="00E178BA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Tekuće donacije</w:t>
      </w:r>
    </w:p>
    <w:p w:rsidR="007E0CCA" w:rsidRPr="0008488C" w:rsidRDefault="00F64C5D" w:rsidP="005947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Tekuće donacije ostvarene su u iznosu 400 kn, a u strukturi ukupnih prihoda čine 0,01%. Odnose se na prihode</w:t>
      </w:r>
      <w:r w:rsidR="0059474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9474E" w:rsidRPr="0008488C">
        <w:rPr>
          <w:rFonts w:ascii="Times New Roman" w:eastAsia="Times New Roman" w:hAnsi="Times New Roman" w:cs="Times New Roman"/>
          <w:sz w:val="20"/>
          <w:szCs w:val="20"/>
          <w:lang w:eastAsia="hr-HR"/>
        </w:rPr>
        <w:t>ostvaren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59474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</w:t>
      </w:r>
      <w:r w:rsidR="0059474E" w:rsidRPr="0008488C">
        <w:rPr>
          <w:rFonts w:ascii="Times New Roman" w:hAnsi="Times New Roman"/>
          <w:color w:val="000000"/>
          <w:sz w:val="20"/>
          <w:szCs w:val="20"/>
        </w:rPr>
        <w:t>Hrvatsk</w:t>
      </w:r>
      <w:r w:rsidR="0059474E">
        <w:rPr>
          <w:rFonts w:ascii="Times New Roman" w:hAnsi="Times New Roman"/>
          <w:color w:val="000000"/>
          <w:sz w:val="20"/>
          <w:szCs w:val="20"/>
        </w:rPr>
        <w:t>og</w:t>
      </w:r>
      <w:r w:rsidR="0059474E" w:rsidRPr="0008488C">
        <w:rPr>
          <w:rFonts w:ascii="Times New Roman" w:hAnsi="Times New Roman"/>
          <w:color w:val="000000"/>
          <w:sz w:val="20"/>
          <w:szCs w:val="20"/>
        </w:rPr>
        <w:t xml:space="preserve"> škols</w:t>
      </w:r>
      <w:r w:rsidR="00517D74">
        <w:rPr>
          <w:rFonts w:ascii="Times New Roman" w:hAnsi="Times New Roman"/>
          <w:color w:val="000000"/>
          <w:sz w:val="20"/>
          <w:szCs w:val="20"/>
        </w:rPr>
        <w:t xml:space="preserve">kog </w:t>
      </w:r>
      <w:r w:rsidR="0059474E" w:rsidRPr="0008488C">
        <w:rPr>
          <w:rFonts w:ascii="Times New Roman" w:hAnsi="Times New Roman"/>
          <w:color w:val="000000"/>
          <w:sz w:val="20"/>
          <w:szCs w:val="20"/>
        </w:rPr>
        <w:t>sportsk</w:t>
      </w:r>
      <w:r w:rsidR="00517D74">
        <w:rPr>
          <w:rFonts w:ascii="Times New Roman" w:hAnsi="Times New Roman"/>
          <w:color w:val="000000"/>
          <w:sz w:val="20"/>
          <w:szCs w:val="20"/>
        </w:rPr>
        <w:t>og</w:t>
      </w:r>
      <w:r w:rsidR="0059474E" w:rsidRPr="0008488C">
        <w:rPr>
          <w:rFonts w:ascii="Times New Roman" w:hAnsi="Times New Roman"/>
          <w:color w:val="000000"/>
          <w:sz w:val="20"/>
          <w:szCs w:val="20"/>
        </w:rPr>
        <w:t xml:space="preserve"> savez</w:t>
      </w:r>
      <w:r w:rsidR="00A117D4">
        <w:rPr>
          <w:rFonts w:ascii="Times New Roman" w:hAnsi="Times New Roman"/>
          <w:color w:val="000000"/>
          <w:sz w:val="20"/>
          <w:szCs w:val="20"/>
        </w:rPr>
        <w:t>a</w:t>
      </w:r>
      <w:r w:rsidR="0059474E" w:rsidRPr="0008488C">
        <w:rPr>
          <w:rFonts w:ascii="Times New Roman" w:hAnsi="Times New Roman"/>
          <w:color w:val="000000"/>
          <w:sz w:val="20"/>
          <w:szCs w:val="20"/>
        </w:rPr>
        <w:t xml:space="preserve"> za troškove dnevnica voditelja ŠSD na </w:t>
      </w:r>
      <w:r w:rsidR="00517D74">
        <w:rPr>
          <w:rFonts w:ascii="Times New Roman" w:hAnsi="Times New Roman"/>
          <w:color w:val="000000"/>
          <w:sz w:val="20"/>
          <w:szCs w:val="20"/>
        </w:rPr>
        <w:t>državnom prvenstvu u badmintonu.</w:t>
      </w:r>
    </w:p>
    <w:p w:rsidR="0059474E" w:rsidRDefault="0059474E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65099" w:rsidRPr="00B47703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AOP </w:t>
      </w:r>
      <w:r w:rsidR="00A117D4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129</w:t>
      </w:r>
      <w:r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- Prihodi iz nadležnog proračuna za financiranje redovne djelatnosti proračunskih korisnika</w:t>
      </w:r>
    </w:p>
    <w:p w:rsidR="00965099" w:rsidRDefault="00F64C5D" w:rsidP="003F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4C5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Prihodi iz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nadležnog proračuna ostvareni su u iznosu 706.782 kn i čine 9,06% ukupnih prihoda. Ostvaruju se iz županijskog proračuna </w:t>
      </w:r>
      <w:r w:rsidR="00957C47">
        <w:rPr>
          <w:rFonts w:ascii="Times New Roman" w:eastAsia="Times New Roman" w:hAnsi="Times New Roman" w:cs="Times New Roman"/>
          <w:sz w:val="20"/>
          <w:szCs w:val="20"/>
          <w:lang w:eastAsia="hr-HR"/>
        </w:rPr>
        <w:t>temeljem odluke o financiranju decentraliziranih funkcija u obrazovanju.</w:t>
      </w:r>
      <w:r w:rsidR="007C08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565D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odnosu na prethodnu godinu </w:t>
      </w:r>
      <w:r w:rsidR="00957C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ovi prihodi 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 </w:t>
      </w:r>
      <w:r w:rsidR="00A117D4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>povećan</w:t>
      </w:r>
      <w:r w:rsidR="00957C47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149.003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ili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26,7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%. Razlog </w:t>
      </w:r>
      <w:r w:rsid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>povećanja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ovih </w:t>
      </w:r>
      <w:r w:rsidR="00957C47">
        <w:rPr>
          <w:rFonts w:ascii="Times New Roman" w:eastAsia="Times New Roman" w:hAnsi="Times New Roman" w:cs="Times New Roman"/>
          <w:sz w:val="20"/>
          <w:szCs w:val="20"/>
          <w:lang w:eastAsia="hr-HR"/>
        </w:rPr>
        <w:t>sredstava</w:t>
      </w:r>
      <w:r w:rsidR="006908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je povećanje rashoda</w:t>
      </w:r>
      <w:r w:rsidR="003F28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redovnog poslovanja</w:t>
      </w:r>
      <w:r w:rsidR="006908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koji se financiraju iz ovih </w:t>
      </w:r>
      <w:r w:rsidR="00957C47">
        <w:rPr>
          <w:rFonts w:ascii="Times New Roman" w:eastAsia="Times New Roman" w:hAnsi="Times New Roman" w:cs="Times New Roman"/>
          <w:sz w:val="20"/>
          <w:szCs w:val="20"/>
          <w:lang w:eastAsia="hr-HR"/>
        </w:rPr>
        <w:t>prihoda</w:t>
      </w:r>
      <w:r w:rsidR="003F28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Naime u prošloj godini zbog uvođenja </w:t>
      </w:r>
      <w:proofErr w:type="spellStart"/>
      <w:r w:rsidR="003F28FA">
        <w:rPr>
          <w:rFonts w:ascii="Times New Roman" w:eastAsia="Times New Roman" w:hAnsi="Times New Roman" w:cs="Times New Roman"/>
          <w:sz w:val="20"/>
          <w:szCs w:val="20"/>
          <w:lang w:eastAsia="hr-HR"/>
        </w:rPr>
        <w:t>lockdowna</w:t>
      </w:r>
      <w:proofErr w:type="spellEnd"/>
      <w:r w:rsidR="003F28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nastava je organizirana na daljinu te je većina zaposlenika radila od kuće pa su </w:t>
      </w:r>
      <w:r w:rsidR="0069547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 </w:t>
      </w:r>
      <w:r w:rsidR="003F28FA">
        <w:rPr>
          <w:rFonts w:ascii="Times New Roman" w:eastAsia="Times New Roman" w:hAnsi="Times New Roman" w:cs="Times New Roman"/>
          <w:sz w:val="20"/>
          <w:szCs w:val="20"/>
          <w:lang w:eastAsia="hr-HR"/>
        </w:rPr>
        <w:t>materijalni rashodi smanjeni dok se u 2021. godini većim dijelom nastava odvijala po modelu A uživo te su ovi rashodi ostvareni na razini prijašnjih godina.</w:t>
      </w:r>
    </w:p>
    <w:p w:rsidR="00245FE8" w:rsidRPr="00965099" w:rsidRDefault="00245FE8" w:rsidP="00517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99" w:rsidRPr="00B47703" w:rsidRDefault="00965099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</w:pPr>
      <w:r w:rsidRPr="00E0357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AOP 14</w:t>
      </w:r>
      <w:r w:rsidR="0088594F" w:rsidRPr="00E0357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7</w:t>
      </w:r>
      <w:r w:rsidRPr="00E0357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- Rashodi za zaposlene</w:t>
      </w:r>
      <w:r w:rsidRPr="00B477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</w:p>
    <w:p w:rsidR="00D429B9" w:rsidRDefault="00965099" w:rsidP="008362CE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C10D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Rashodi za zaposlene</w:t>
      </w:r>
      <w:r w:rsidR="0001215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strukturi ukupnih 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prihoda participiraju sa </w:t>
      </w:r>
      <w:r w:rsidR="002C2E3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87,27 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 a</w:t>
      </w:r>
      <w:r w:rsidRPr="004C10D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odnose se na bruto plaće zaposlenika</w:t>
      </w:r>
      <w:r w:rsidR="00D429B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0357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uvećane za doprinose na plaću </w:t>
      </w:r>
      <w:r w:rsidR="00D429B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te 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ostale rashode za zaposlene</w:t>
      </w:r>
      <w:r w:rsidR="00D429B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8362C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Najvećim dijelom (99,6%) ovi rashodi </w:t>
      </w:r>
      <w:r w:rsidR="00A90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financira</w:t>
      </w:r>
      <w:r w:rsidR="00A90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ni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iz državnog proračuna odnosno proračuna MZO. </w:t>
      </w:r>
    </w:p>
    <w:p w:rsidR="00965099" w:rsidRDefault="0088594F" w:rsidP="00D429B9">
      <w:pPr>
        <w:pStyle w:val="Bezproreda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Ovi rashodi su povećani </w:t>
      </w:r>
      <w:r w:rsidR="00965099" w:rsidRPr="00D24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odnosu na </w:t>
      </w:r>
      <w:r w:rsidR="0096509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isto razdoblje prethodne </w:t>
      </w:r>
      <w:r w:rsidR="00965099" w:rsidRPr="00885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godine za </w:t>
      </w:r>
      <w:r w:rsidRPr="00885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625.272</w:t>
      </w:r>
      <w:r w:rsidR="007F0E9F" w:rsidRPr="00885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 w:rsidR="00965099" w:rsidRPr="00885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ili </w:t>
      </w:r>
      <w:r w:rsidRPr="00885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10</w:t>
      </w:r>
      <w:r w:rsidR="00965099" w:rsidRPr="00885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</w:t>
      </w:r>
      <w:r w:rsidR="008362CE" w:rsidRPr="00885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8362C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Razlog povećanja ovih rashoda je rast osnovice za obračun plaća u javnim službama za 4% te povećanje dodatka za nenastavno osoblje za 2%</w:t>
      </w:r>
      <w:r w:rsidR="008362CE">
        <w:rPr>
          <w:rFonts w:ascii="Times New Roman" w:hAnsi="Times New Roman" w:cs="Times New Roman"/>
          <w:sz w:val="20"/>
          <w:szCs w:val="20"/>
        </w:rPr>
        <w:t xml:space="preserve"> počev</w:t>
      </w:r>
      <w:r w:rsidR="001266CE">
        <w:rPr>
          <w:rFonts w:ascii="Times New Roman" w:hAnsi="Times New Roman" w:cs="Times New Roman"/>
          <w:sz w:val="20"/>
          <w:szCs w:val="20"/>
        </w:rPr>
        <w:t xml:space="preserve">ši od 01. siječnja 2021. </w:t>
      </w:r>
      <w:r w:rsidR="00BE4FEF">
        <w:rPr>
          <w:rFonts w:ascii="Times New Roman" w:hAnsi="Times New Roman" w:cs="Times New Roman"/>
          <w:sz w:val="20"/>
          <w:szCs w:val="20"/>
        </w:rPr>
        <w:t>g</w:t>
      </w:r>
      <w:r w:rsidR="001266CE">
        <w:rPr>
          <w:rFonts w:ascii="Times New Roman" w:hAnsi="Times New Roman" w:cs="Times New Roman"/>
          <w:sz w:val="20"/>
          <w:szCs w:val="20"/>
        </w:rPr>
        <w:t>odine.</w:t>
      </w:r>
      <w:r w:rsidR="008362CE">
        <w:rPr>
          <w:rFonts w:ascii="Times New Roman" w:hAnsi="Times New Roman" w:cs="Times New Roman"/>
          <w:sz w:val="20"/>
          <w:szCs w:val="20"/>
        </w:rPr>
        <w:t xml:space="preserve"> </w:t>
      </w:r>
      <w:r w:rsidR="00DB072A">
        <w:rPr>
          <w:rFonts w:ascii="Times New Roman" w:hAnsi="Times New Roman" w:cs="Times New Roman"/>
          <w:sz w:val="20"/>
          <w:szCs w:val="20"/>
        </w:rPr>
        <w:t>te</w:t>
      </w:r>
      <w:r w:rsidR="008362CE">
        <w:rPr>
          <w:rFonts w:ascii="Times New Roman" w:hAnsi="Times New Roman" w:cs="Times New Roman"/>
          <w:sz w:val="20"/>
          <w:szCs w:val="20"/>
        </w:rPr>
        <w:t xml:space="preserve"> isplata </w:t>
      </w:r>
      <w:r w:rsidR="008362CE" w:rsidRPr="00117EBC">
        <w:rPr>
          <w:rFonts w:ascii="Times New Roman" w:hAnsi="Times New Roman" w:cs="Times New Roman"/>
          <w:sz w:val="20"/>
          <w:szCs w:val="20"/>
        </w:rPr>
        <w:t xml:space="preserve">razlike plaće po povoljnijoj osnovici na temelju </w:t>
      </w:r>
      <w:r w:rsidR="00D429B9" w:rsidRPr="00117EBC">
        <w:rPr>
          <w:rFonts w:ascii="Times New Roman" w:hAnsi="Times New Roman" w:cs="Times New Roman"/>
          <w:sz w:val="20"/>
          <w:szCs w:val="20"/>
        </w:rPr>
        <w:t>pravomoćnih sudskih presuda za razdoblje od prosinca 2015. do siječnja 2017.</w:t>
      </w:r>
      <w:r w:rsidR="00965099" w:rsidRPr="00117E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66CE" w:rsidRPr="00117EBC">
        <w:rPr>
          <w:rFonts w:ascii="Times New Roman" w:hAnsi="Times New Roman" w:cs="Times New Roman"/>
          <w:color w:val="000000"/>
          <w:sz w:val="20"/>
          <w:szCs w:val="20"/>
        </w:rPr>
        <w:t xml:space="preserve"> Osim toga </w:t>
      </w:r>
      <w:r w:rsidR="00DB072A">
        <w:rPr>
          <w:rFonts w:ascii="Times New Roman" w:hAnsi="Times New Roman" w:cs="Times New Roman"/>
          <w:color w:val="000000"/>
          <w:sz w:val="20"/>
          <w:szCs w:val="20"/>
        </w:rPr>
        <w:t xml:space="preserve">od početka ove školske godine zaposlenici koji rade </w:t>
      </w:r>
      <w:r w:rsidR="00A226C0" w:rsidRPr="00117EBC">
        <w:rPr>
          <w:rFonts w:ascii="Times New Roman" w:hAnsi="Times New Roman" w:cs="Times New Roman"/>
          <w:color w:val="000000"/>
          <w:sz w:val="20"/>
          <w:szCs w:val="20"/>
        </w:rPr>
        <w:t>na projektu RCK ostvaruju pravo na uvećanje plaće od 30% za radno vrijeme na projektu</w:t>
      </w:r>
      <w:r w:rsidR="00DB072A">
        <w:rPr>
          <w:rFonts w:ascii="Times New Roman" w:hAnsi="Times New Roman" w:cs="Times New Roman"/>
          <w:color w:val="000000"/>
          <w:sz w:val="20"/>
          <w:szCs w:val="20"/>
        </w:rPr>
        <w:t xml:space="preserve"> a imamo zaposlenog i jednog pomoćnika u nastavi.</w:t>
      </w:r>
    </w:p>
    <w:p w:rsidR="00220BBF" w:rsidRDefault="00542472" w:rsidP="00220BBF">
      <w:pPr>
        <w:pStyle w:val="Bezproreda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88594F">
        <w:rPr>
          <w:rFonts w:ascii="Times New Roman" w:hAnsi="Times New Roman" w:cs="Times New Roman"/>
          <w:sz w:val="20"/>
          <w:szCs w:val="20"/>
          <w:lang w:eastAsia="hr-HR"/>
        </w:rPr>
        <w:t xml:space="preserve">Ostali rashodi za zaposlene na poziciji AOP </w:t>
      </w:r>
      <w:r w:rsidR="0088594F" w:rsidRPr="0088594F">
        <w:rPr>
          <w:rFonts w:ascii="Times New Roman" w:hAnsi="Times New Roman" w:cs="Times New Roman"/>
          <w:sz w:val="20"/>
          <w:szCs w:val="20"/>
          <w:lang w:eastAsia="hr-HR"/>
        </w:rPr>
        <w:t>153</w:t>
      </w:r>
      <w:r w:rsidRPr="0088594F">
        <w:rPr>
          <w:rFonts w:ascii="Times New Roman" w:hAnsi="Times New Roman" w:cs="Times New Roman"/>
          <w:sz w:val="20"/>
          <w:szCs w:val="20"/>
          <w:lang w:eastAsia="hr-HR"/>
        </w:rPr>
        <w:t xml:space="preserve"> iskazani su u iznosu </w:t>
      </w:r>
      <w:r w:rsidR="00D429B9" w:rsidRPr="0088594F">
        <w:rPr>
          <w:rFonts w:ascii="Times New Roman" w:hAnsi="Times New Roman" w:cs="Times New Roman"/>
          <w:sz w:val="20"/>
          <w:szCs w:val="20"/>
          <w:lang w:eastAsia="hr-HR"/>
        </w:rPr>
        <w:t>251.215</w:t>
      </w:r>
      <w:r w:rsidRPr="0088594F">
        <w:rPr>
          <w:rFonts w:ascii="Times New Roman" w:hAnsi="Times New Roman" w:cs="Times New Roman"/>
          <w:sz w:val="20"/>
          <w:szCs w:val="20"/>
          <w:lang w:eastAsia="hr-HR"/>
        </w:rPr>
        <w:t xml:space="preserve"> kn što je u odnosu na prethodnu godinu </w:t>
      </w:r>
      <w:r w:rsidR="00D24680" w:rsidRPr="0088594F">
        <w:rPr>
          <w:rFonts w:ascii="Times New Roman" w:hAnsi="Times New Roman" w:cs="Times New Roman"/>
          <w:sz w:val="20"/>
          <w:szCs w:val="20"/>
          <w:lang w:eastAsia="hr-HR"/>
        </w:rPr>
        <w:t xml:space="preserve">više </w:t>
      </w:r>
      <w:r w:rsidR="0088594F" w:rsidRPr="0088594F">
        <w:rPr>
          <w:rFonts w:ascii="Times New Roman" w:hAnsi="Times New Roman" w:cs="Times New Roman"/>
          <w:sz w:val="20"/>
          <w:szCs w:val="20"/>
          <w:lang w:eastAsia="hr-HR"/>
        </w:rPr>
        <w:t>za 10,9</w:t>
      </w:r>
      <w:r w:rsidR="00D24680" w:rsidRPr="0088594F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88594F">
        <w:rPr>
          <w:rFonts w:ascii="Times New Roman" w:hAnsi="Times New Roman" w:cs="Times New Roman"/>
          <w:sz w:val="20"/>
          <w:szCs w:val="20"/>
          <w:lang w:eastAsia="hr-HR"/>
        </w:rPr>
        <w:t>%.</w:t>
      </w:r>
      <w:r w:rsidR="005D11DD" w:rsidRPr="0088594F">
        <w:rPr>
          <w:rFonts w:ascii="Times New Roman" w:hAnsi="Times New Roman" w:cs="Times New Roman"/>
          <w:sz w:val="20"/>
          <w:szCs w:val="20"/>
        </w:rPr>
        <w:t xml:space="preserve"> </w:t>
      </w:r>
      <w:r w:rsidR="00380BAC" w:rsidRPr="0088594F">
        <w:rPr>
          <w:rStyle w:val="BezproredaChar"/>
          <w:rFonts w:ascii="Times New Roman" w:hAnsi="Times New Roman" w:cs="Times New Roman"/>
          <w:sz w:val="20"/>
          <w:szCs w:val="20"/>
        </w:rPr>
        <w:t>U ovoj skupini rashoda iskazane su isplate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materijalnih prava na ime jubilarnih nagrada s iznosom od </w:t>
      </w:r>
      <w:r w:rsidR="00D429B9">
        <w:rPr>
          <w:rStyle w:val="BezproredaChar"/>
          <w:rFonts w:ascii="Times New Roman" w:hAnsi="Times New Roman" w:cs="Times New Roman"/>
          <w:sz w:val="20"/>
          <w:szCs w:val="20"/>
        </w:rPr>
        <w:t>23.238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kn,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 xml:space="preserve"> 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potpore </w:t>
      </w:r>
      <w:r w:rsidR="004C10D0">
        <w:rPr>
          <w:rStyle w:val="BezproredaChar"/>
          <w:rFonts w:ascii="Times New Roman" w:hAnsi="Times New Roman" w:cs="Times New Roman"/>
          <w:sz w:val="20"/>
          <w:szCs w:val="20"/>
        </w:rPr>
        <w:t xml:space="preserve">zbog 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>bolovanja</w:t>
      </w:r>
      <w:r w:rsidR="004C10D0">
        <w:rPr>
          <w:rStyle w:val="BezproredaChar"/>
          <w:rFonts w:ascii="Times New Roman" w:hAnsi="Times New Roman" w:cs="Times New Roman"/>
          <w:sz w:val="20"/>
          <w:szCs w:val="20"/>
        </w:rPr>
        <w:t xml:space="preserve"> i smrtnog slučaja </w:t>
      </w:r>
      <w:r w:rsidR="00D429B9">
        <w:rPr>
          <w:rStyle w:val="BezproredaChar"/>
          <w:rFonts w:ascii="Times New Roman" w:hAnsi="Times New Roman" w:cs="Times New Roman"/>
          <w:sz w:val="20"/>
          <w:szCs w:val="20"/>
        </w:rPr>
        <w:t>14.550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kn,</w:t>
      </w:r>
      <w:r w:rsidR="00D429B9">
        <w:rPr>
          <w:rStyle w:val="BezproredaChar"/>
          <w:rFonts w:ascii="Times New Roman" w:hAnsi="Times New Roman" w:cs="Times New Roman"/>
          <w:sz w:val="20"/>
          <w:szCs w:val="20"/>
        </w:rPr>
        <w:t xml:space="preserve"> otpremnine zbog odlaska u mirovinu 31.113 kn,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regres </w:t>
      </w:r>
      <w:r w:rsidR="00D429B9">
        <w:rPr>
          <w:rStyle w:val="BezproredaChar"/>
          <w:rFonts w:ascii="Times New Roman" w:hAnsi="Times New Roman" w:cs="Times New Roman"/>
          <w:sz w:val="20"/>
          <w:szCs w:val="20"/>
        </w:rPr>
        <w:t>76.500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kn, božićnice </w:t>
      </w:r>
      <w:r w:rsidR="00D429B9">
        <w:rPr>
          <w:rStyle w:val="BezproredaChar"/>
          <w:rFonts w:ascii="Times New Roman" w:hAnsi="Times New Roman" w:cs="Times New Roman"/>
          <w:sz w:val="20"/>
          <w:szCs w:val="20"/>
        </w:rPr>
        <w:t>79.250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kn</w:t>
      </w:r>
      <w:r w:rsidR="007F0E9F">
        <w:rPr>
          <w:rStyle w:val="BezproredaChar"/>
          <w:rFonts w:ascii="Times New Roman" w:hAnsi="Times New Roman" w:cs="Times New Roman"/>
          <w:sz w:val="20"/>
          <w:szCs w:val="20"/>
        </w:rPr>
        <w:t>,</w:t>
      </w:r>
      <w:r w:rsidR="00380BAC" w:rsidRPr="00D24680">
        <w:rPr>
          <w:rStyle w:val="BezproredaChar"/>
          <w:rFonts w:ascii="Times New Roman" w:hAnsi="Times New Roman" w:cs="Times New Roman"/>
          <w:sz w:val="20"/>
          <w:szCs w:val="20"/>
        </w:rPr>
        <w:t xml:space="preserve"> darovi </w:t>
      </w:r>
      <w:r w:rsidR="00D429B9">
        <w:rPr>
          <w:rStyle w:val="BezproredaChar"/>
          <w:rFonts w:ascii="Times New Roman" w:hAnsi="Times New Roman" w:cs="Times New Roman"/>
          <w:sz w:val="20"/>
          <w:szCs w:val="20"/>
        </w:rPr>
        <w:t>zaposlenicima 17.400 kn</w:t>
      </w:r>
      <w:r w:rsidR="004D36AC">
        <w:rPr>
          <w:rStyle w:val="BezproredaChar"/>
          <w:rFonts w:ascii="Times New Roman" w:hAnsi="Times New Roman" w:cs="Times New Roman"/>
          <w:sz w:val="20"/>
          <w:szCs w:val="20"/>
        </w:rPr>
        <w:t xml:space="preserve">, potpore </w:t>
      </w:r>
      <w:r w:rsidR="0088594F">
        <w:rPr>
          <w:rStyle w:val="BezproredaChar"/>
          <w:rFonts w:ascii="Times New Roman" w:hAnsi="Times New Roman" w:cs="Times New Roman"/>
          <w:sz w:val="20"/>
          <w:szCs w:val="20"/>
        </w:rPr>
        <w:t xml:space="preserve"> za </w:t>
      </w:r>
      <w:r w:rsidR="004D36AC">
        <w:rPr>
          <w:rStyle w:val="BezproredaChar"/>
          <w:rFonts w:ascii="Times New Roman" w:hAnsi="Times New Roman" w:cs="Times New Roman"/>
          <w:sz w:val="20"/>
          <w:szCs w:val="20"/>
        </w:rPr>
        <w:t xml:space="preserve">novorođenče, 4.989 </w:t>
      </w:r>
      <w:r w:rsidR="00385386">
        <w:rPr>
          <w:rStyle w:val="BezproredaChar"/>
          <w:rFonts w:ascii="Times New Roman" w:hAnsi="Times New Roman" w:cs="Times New Roman"/>
          <w:sz w:val="20"/>
          <w:szCs w:val="20"/>
        </w:rPr>
        <w:t xml:space="preserve">te naknada za e-tehničara </w:t>
      </w:r>
      <w:r w:rsidR="004D36AC">
        <w:rPr>
          <w:rStyle w:val="BezproredaChar"/>
          <w:rFonts w:ascii="Times New Roman" w:hAnsi="Times New Roman" w:cs="Times New Roman"/>
          <w:sz w:val="20"/>
          <w:szCs w:val="20"/>
        </w:rPr>
        <w:t>4.175</w:t>
      </w:r>
      <w:r w:rsidR="00385386">
        <w:rPr>
          <w:rStyle w:val="BezproredaChar"/>
          <w:rFonts w:ascii="Times New Roman" w:hAnsi="Times New Roman" w:cs="Times New Roman"/>
          <w:sz w:val="20"/>
          <w:szCs w:val="20"/>
        </w:rPr>
        <w:t xml:space="preserve"> kn</w:t>
      </w:r>
      <w:r w:rsidR="007012B5" w:rsidRPr="00D24680">
        <w:rPr>
          <w:rStyle w:val="BezproredaChar"/>
          <w:rFonts w:ascii="Times New Roman" w:hAnsi="Times New Roman" w:cs="Times New Roman"/>
          <w:sz w:val="20"/>
          <w:szCs w:val="20"/>
        </w:rPr>
        <w:t>.</w:t>
      </w:r>
      <w:r w:rsidR="004C10D0">
        <w:rPr>
          <w:rStyle w:val="BezproredaChar"/>
          <w:rFonts w:ascii="Times New Roman" w:hAnsi="Times New Roman" w:cs="Times New Roman"/>
          <w:sz w:val="20"/>
          <w:szCs w:val="20"/>
        </w:rPr>
        <w:t xml:space="preserve"> </w:t>
      </w:r>
      <w:r w:rsidR="004C10D0" w:rsidRPr="0088594F">
        <w:rPr>
          <w:rFonts w:ascii="Times New Roman" w:hAnsi="Times New Roman" w:cs="Times New Roman"/>
          <w:sz w:val="20"/>
          <w:szCs w:val="20"/>
          <w:lang w:eastAsia="hr-HR"/>
        </w:rPr>
        <w:t>U 20</w:t>
      </w:r>
      <w:r w:rsidR="00385386" w:rsidRPr="0088594F">
        <w:rPr>
          <w:rFonts w:ascii="Times New Roman" w:hAnsi="Times New Roman" w:cs="Times New Roman"/>
          <w:sz w:val="20"/>
          <w:szCs w:val="20"/>
          <w:lang w:eastAsia="hr-HR"/>
        </w:rPr>
        <w:t>20</w:t>
      </w:r>
      <w:r w:rsidR="004C10D0" w:rsidRPr="0088594F">
        <w:rPr>
          <w:rFonts w:ascii="Times New Roman" w:hAnsi="Times New Roman" w:cs="Times New Roman"/>
          <w:sz w:val="20"/>
          <w:szCs w:val="20"/>
          <w:lang w:eastAsia="hr-HR"/>
        </w:rPr>
        <w:t>. godini nisu isplaćivane otpremnine jer niti jedan zaposlenik nije ostvario uvjete za odlazak u mirovinu</w:t>
      </w:r>
      <w:r w:rsidR="005A7DE9" w:rsidRPr="0088594F">
        <w:rPr>
          <w:rFonts w:ascii="Times New Roman" w:hAnsi="Times New Roman" w:cs="Times New Roman"/>
          <w:sz w:val="20"/>
          <w:szCs w:val="20"/>
          <w:lang w:eastAsia="hr-HR"/>
        </w:rPr>
        <w:t>.</w:t>
      </w:r>
    </w:p>
    <w:p w:rsidR="00220BBF" w:rsidRDefault="00220BBF" w:rsidP="00220BBF">
      <w:pPr>
        <w:pStyle w:val="Bezproreda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</w:p>
    <w:p w:rsidR="00965099" w:rsidRPr="00F37161" w:rsidRDefault="00965099" w:rsidP="00220BBF">
      <w:pPr>
        <w:pStyle w:val="Bezproreda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</w:pPr>
      <w:r w:rsidRPr="00F371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lastRenderedPageBreak/>
        <w:t xml:space="preserve">AOP </w:t>
      </w:r>
      <w:r w:rsidR="004807AB" w:rsidRPr="00F371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158</w:t>
      </w:r>
      <w:r w:rsidRPr="00F371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 Materijalni rashodi</w:t>
      </w:r>
    </w:p>
    <w:p w:rsidR="004807AB" w:rsidRDefault="001B6456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Materijalni rashodi u strukturi ukupnih rashoda čine 11,53% a odnose se na rashode redovnog poslovanja koji se najvećim dijelom financiraju iz županijskog proračuna.</w:t>
      </w:r>
      <w:r w:rsidR="00491178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</w:t>
      </w:r>
      <w:r w:rsidR="004D36AC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odnosu na isto razdoblje prethodne godine</w:t>
      </w:r>
      <w:r w:rsidR="00491178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povećani su </w:t>
      </w:r>
      <w:r w:rsidR="004D36AC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za </w:t>
      </w:r>
      <w:r w:rsidR="0088594F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274.309</w:t>
      </w:r>
      <w:r w:rsidR="004807AB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4D36AC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kn ili </w:t>
      </w:r>
      <w:r w:rsidR="0088594F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43,2</w:t>
      </w:r>
      <w:r w:rsidR="004D36AC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%. U prethodnoj godini je zbog uvođenja „</w:t>
      </w:r>
      <w:proofErr w:type="spellStart"/>
      <w:r w:rsidR="004D36AC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lockdowna</w:t>
      </w:r>
      <w:proofErr w:type="spellEnd"/>
      <w:r w:rsidR="004D36AC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“ organizirana nastava na daljinu te je većina zaposlenika radila od kuće što je utjecalo na smanjenje ukupnih materijalnih rashoda, dok su se u ovoj godini učenici vratili u školu odnosno nastava se uglavnom odvijala uživo po modelu A uz poštivanje epidemioloških mjera</w:t>
      </w:r>
      <w:r w:rsidR="00A226C0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pa su materijalni rashodi ostvareni na razini </w:t>
      </w:r>
      <w:r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prethodnih godina prije ep</w:t>
      </w:r>
      <w:r w:rsidR="00A6306C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idemije.</w:t>
      </w:r>
      <w:r w:rsidR="008A4A8E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Najveće povećanje je na pozicijama rashoda za</w:t>
      </w:r>
      <w:r w:rsidR="00F37161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energiju  i</w:t>
      </w:r>
      <w:r w:rsidR="008A4A8E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naknade troškova zaposlenima</w:t>
      </w:r>
      <w:r w:rsidR="00F37161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Troškovi energije povećani su za 87,5% a naknade troškova zaposlenima za 40,2%</w:t>
      </w:r>
      <w:r w:rsidR="008A4A8E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zbog većih rashoda prijevoza zaposlenika na posao i s posla  te zbog većih rashoda za službena putovanja s obzirom da su se ove godine realizirali planirani stručni skupovi i studijska putovanja koja su prethodne godine bila otkazana zbog epidemije. </w:t>
      </w:r>
    </w:p>
    <w:p w:rsidR="003F28FA" w:rsidRDefault="003F28FA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2F61F9" w:rsidRPr="00B47703" w:rsidRDefault="004807AB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AOP 178 Zdravstvene usluge</w:t>
      </w:r>
    </w:p>
    <w:p w:rsidR="00A226C0" w:rsidRDefault="004807AB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807A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 ovoj poziciji iskazani su troškovi liječničkog pregleda zaposlenika za poslove s posebnim uvjetima rada u iznosu 414 kn te troškovi </w:t>
      </w:r>
      <w:r w:rsid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obveznog </w:t>
      </w:r>
      <w:r w:rsidRPr="004807A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testiranja zaposlenika</w:t>
      </w:r>
      <w:r w:rsidR="00A12A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 virus SARS-CoV-2</w:t>
      </w:r>
      <w:r w:rsidRPr="004807A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prema odluci </w:t>
      </w:r>
      <w:r w:rsidR="00A12A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St</w:t>
      </w:r>
      <w:r w:rsidRPr="004807A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ožera</w:t>
      </w:r>
      <w:r w:rsidR="00A12A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civilne zaštite RH</w:t>
      </w:r>
      <w:r w:rsidRPr="004807A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iznosu 4.811 kn.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Sistematski pregledi zaposlenika nisu obavljeni zbog </w:t>
      </w:r>
      <w:r w:rsidR="00A12A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epidemije</w:t>
      </w:r>
      <w:r w:rsidRP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Iz istog razloga</w:t>
      </w:r>
      <w:r w:rsidR="00A12A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</w:t>
      </w:r>
      <w:r w:rsidRP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prethodnoj godini ova pozicija nije iskazana</w:t>
      </w:r>
      <w:r w:rsid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4807AB" w:rsidRDefault="004807AB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807AB" w:rsidRPr="00B47703" w:rsidRDefault="004807AB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AOP 179 Intelektualne i osobne usluge</w:t>
      </w:r>
    </w:p>
    <w:p w:rsidR="004807AB" w:rsidRDefault="004807AB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  <w:r w:rsidRP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iskazan na ovoj poziciji odnosi se na ugovor</w:t>
      </w:r>
      <w:r w:rsidR="0049117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</w:t>
      </w:r>
      <w:r w:rsidRP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 djelu –</w:t>
      </w:r>
      <w:r w:rsidR="00A12A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sređivanje arhivske građe</w:t>
      </w:r>
      <w:r w:rsidR="00A12A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 </w:t>
      </w:r>
      <w:r w:rsid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predavanj</w:t>
      </w:r>
      <w:r w:rsidR="00A12A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</w:t>
      </w:r>
      <w:r w:rsid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maturantima</w:t>
      </w:r>
      <w:r w:rsidRP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U prethodnoj godini nismo imali</w:t>
      </w:r>
      <w:r w:rsidR="00A226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iskazane ove rashode.</w:t>
      </w:r>
    </w:p>
    <w:p w:rsidR="004C157C" w:rsidRPr="00A226C0" w:rsidRDefault="004C157C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BB17B0" w:rsidRPr="00F37161" w:rsidRDefault="00BB17B0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F371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AOP </w:t>
      </w:r>
      <w:r w:rsidR="007970B8" w:rsidRPr="00F371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188</w:t>
      </w:r>
      <w:r w:rsidRPr="00F371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Pristojbe i naknade </w:t>
      </w:r>
    </w:p>
    <w:p w:rsidR="00141EF6" w:rsidRDefault="00BB17B0" w:rsidP="001C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odnosu na isto razdoblje prethodne godine ova </w:t>
      </w:r>
      <w:r w:rsidR="007F2C77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pozicija je povećana</w:t>
      </w:r>
      <w:r w:rsidR="001C45E8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</w:t>
      </w:r>
      <w:r w:rsidR="007F2C77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4.693 ili 19,6</w:t>
      </w:r>
      <w:r w:rsidR="001C45E8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41EF6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%,</w:t>
      </w:r>
      <w:r w:rsidR="007F2C77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C607E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 razlog povećanja je isplata </w:t>
      </w:r>
      <w:r w:rsidR="007F2C77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C607E" w:rsidRPr="00F37161">
        <w:rPr>
          <w:rFonts w:ascii="Times New Roman" w:hAnsi="Times New Roman" w:cs="Times New Roman"/>
          <w:sz w:val="20"/>
          <w:szCs w:val="20"/>
        </w:rPr>
        <w:t>sudskih pristojbi</w:t>
      </w:r>
      <w:r w:rsidR="007F2C77" w:rsidRPr="00F37161">
        <w:rPr>
          <w:rFonts w:ascii="Times New Roman" w:hAnsi="Times New Roman" w:cs="Times New Roman"/>
          <w:sz w:val="20"/>
          <w:szCs w:val="20"/>
        </w:rPr>
        <w:t xml:space="preserve"> po pravomoćnim sudskim presudama </w:t>
      </w:r>
      <w:r w:rsidR="001C607E" w:rsidRPr="00F37161">
        <w:rPr>
          <w:rFonts w:ascii="Times New Roman" w:hAnsi="Times New Roman" w:cs="Times New Roman"/>
          <w:sz w:val="20"/>
          <w:szCs w:val="20"/>
        </w:rPr>
        <w:t xml:space="preserve">za razlike plaća </w:t>
      </w:r>
      <w:r w:rsidR="00F37161">
        <w:rPr>
          <w:rFonts w:ascii="Times New Roman" w:hAnsi="Times New Roman" w:cs="Times New Roman"/>
          <w:sz w:val="20"/>
          <w:szCs w:val="20"/>
        </w:rPr>
        <w:t>po povoljnijoj osnovici.</w:t>
      </w:r>
    </w:p>
    <w:p w:rsidR="00F37161" w:rsidRDefault="00F37161" w:rsidP="001C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0B8" w:rsidRPr="00B47703" w:rsidRDefault="007970B8" w:rsidP="001C45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>AOP 189 Troškovi sudskih postupaka</w:t>
      </w:r>
    </w:p>
    <w:p w:rsidR="001C607E" w:rsidRDefault="00491178" w:rsidP="001C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 rashodi realizirani su u iznosu 55.938 kn a </w:t>
      </w:r>
      <w:r w:rsidR="001B6456">
        <w:rPr>
          <w:rFonts w:ascii="Times New Roman" w:hAnsi="Times New Roman" w:cs="Times New Roman"/>
          <w:sz w:val="20"/>
          <w:szCs w:val="20"/>
        </w:rPr>
        <w:t>odnos</w:t>
      </w:r>
      <w:r>
        <w:rPr>
          <w:rFonts w:ascii="Times New Roman" w:hAnsi="Times New Roman" w:cs="Times New Roman"/>
          <w:sz w:val="20"/>
          <w:szCs w:val="20"/>
        </w:rPr>
        <w:t>e</w:t>
      </w:r>
      <w:r w:rsidR="001B6456">
        <w:rPr>
          <w:rFonts w:ascii="Times New Roman" w:hAnsi="Times New Roman" w:cs="Times New Roman"/>
          <w:sz w:val="20"/>
          <w:szCs w:val="20"/>
        </w:rPr>
        <w:t xml:space="preserve"> se na troškove </w:t>
      </w:r>
      <w:r w:rsidR="007970B8">
        <w:rPr>
          <w:rFonts w:ascii="Times New Roman" w:hAnsi="Times New Roman" w:cs="Times New Roman"/>
          <w:sz w:val="20"/>
          <w:szCs w:val="20"/>
        </w:rPr>
        <w:t>parničnog postupka po pravomoćnim sudski</w:t>
      </w:r>
      <w:r w:rsidR="00C21714">
        <w:rPr>
          <w:rFonts w:ascii="Times New Roman" w:hAnsi="Times New Roman" w:cs="Times New Roman"/>
          <w:sz w:val="20"/>
          <w:szCs w:val="20"/>
        </w:rPr>
        <w:t>m</w:t>
      </w:r>
      <w:r w:rsidR="007970B8">
        <w:rPr>
          <w:rFonts w:ascii="Times New Roman" w:hAnsi="Times New Roman" w:cs="Times New Roman"/>
          <w:sz w:val="20"/>
          <w:szCs w:val="20"/>
        </w:rPr>
        <w:t xml:space="preserve"> presudama za 20 zaposlenika radi isplate razlike plaće po povoljnijoj osnovici.</w:t>
      </w:r>
    </w:p>
    <w:p w:rsidR="00C530ED" w:rsidRDefault="00C530ED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1C45E8" w:rsidRPr="00F37161" w:rsidRDefault="001C45E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F371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AOP 19</w:t>
      </w:r>
      <w:r w:rsidR="00141EF6" w:rsidRPr="00F371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0</w:t>
      </w:r>
      <w:r w:rsidRPr="00F371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Ostali nespomenuti rashodi poslovanja</w:t>
      </w:r>
    </w:p>
    <w:p w:rsidR="001C607E" w:rsidRDefault="009A375A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ovoj poziciji iskazano je povećanje u odnosu na prethodnu godinu za</w:t>
      </w:r>
      <w:r w:rsidR="00F37161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25.722 kn ili</w:t>
      </w:r>
      <w:r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41EF6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81,5</w:t>
      </w:r>
      <w:r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</w:t>
      </w:r>
      <w:r w:rsidR="001C607E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DD7DEA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odnosi se na usluge učeničkog servisa</w:t>
      </w:r>
      <w:r w:rsidR="00B72B39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</w:t>
      </w:r>
      <w:r w:rsidR="00DD7DEA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učenička zarada uvećana za doprinose mirovinskog i zdravstvenog osiguranja</w:t>
      </w:r>
      <w:r w:rsidR="001C607E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Povećanje ove pozicije je iz razloga što </w:t>
      </w:r>
      <w:r w:rsidR="00141EF6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je ove godine više učenika radilo preko učeničkog servisa.</w:t>
      </w:r>
    </w:p>
    <w:p w:rsidR="00A40EF8" w:rsidRDefault="00A40EF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7970B8" w:rsidRDefault="0049117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AOP 191 Financijski rashodi</w:t>
      </w:r>
    </w:p>
    <w:p w:rsidR="001C607E" w:rsidRPr="0079755A" w:rsidRDefault="0049117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9117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Financijski rashodi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odnose se na rashode zateznih kamata a u strukturi ukupnih rashoda čine 0,5%. U odnosu na</w:t>
      </w:r>
      <w:r w:rsidR="00A3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7970B8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prethodnu godinu ovi rashodi povećani su za </w:t>
      </w:r>
      <w:r w:rsidR="0079755A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38.90</w:t>
      </w:r>
      <w:r w:rsidR="00C2171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</w:t>
      </w:r>
      <w:r w:rsidR="0079755A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kn. Razlog ovako značajnog </w:t>
      </w:r>
      <w:r w:rsidR="00C2171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odstupanja</w:t>
      </w:r>
      <w:r w:rsidR="0079755A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je</w:t>
      </w:r>
      <w:r w:rsidR="007970B8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isplat</w:t>
      </w:r>
      <w:r w:rsidR="0079755A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  <w:r w:rsidR="007970B8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zateznih kamata (na poreze i doprinose, neto iznos te troškove parničnog postupka) po pravomoćnim sudski</w:t>
      </w:r>
      <w:r w:rsidR="00C2171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m </w:t>
      </w:r>
      <w:r w:rsidR="007970B8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presudama radi isplate razlike plaće po povoljnijoj osnovici </w:t>
      </w:r>
      <w:r w:rsidR="0079755A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iznosu </w:t>
      </w:r>
      <w:r w:rsidR="007970B8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38.858 kn. Na ovoj poziciji iskazane su i zatezne kamate zbog kašnje</w:t>
      </w:r>
      <w:r w:rsidR="00903C81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nja</w:t>
      </w:r>
      <w:r w:rsidR="007970B8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plaćanju materijalnih obveza</w:t>
      </w:r>
      <w:r w:rsidR="00903C81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iznosu 160 kn. U prethodnoj godini na ovoj poziciji iskazane su samo zatezne kamate iz poslovnih odnosa.</w:t>
      </w:r>
    </w:p>
    <w:p w:rsidR="00903C81" w:rsidRPr="007970B8" w:rsidRDefault="00903C81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DF646A" w:rsidRPr="00B47703" w:rsidRDefault="00DF646A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AOP 30</w:t>
      </w:r>
      <w:r w:rsidR="00DD2A28"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5</w:t>
      </w:r>
      <w:r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Prihodi od prodaje proizvedene dugotrajne imovine</w:t>
      </w:r>
    </w:p>
    <w:p w:rsidR="001C607E" w:rsidRDefault="00DF646A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Ova pozicija odnosi se na prihode od prodaje </w:t>
      </w:r>
      <w:r w:rsidR="00903C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stana</w:t>
      </w:r>
      <w:r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 koj</w:t>
      </w:r>
      <w:r w:rsidR="00903C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em</w:t>
      </w:r>
      <w:r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je postojalo stanarsko pravo</w:t>
      </w:r>
      <w:r w:rsidR="00903C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iskazani su u izno</w:t>
      </w:r>
      <w:r w:rsidR="00D64118"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</w:t>
      </w:r>
      <w:r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35% ostvarenih prihoda odnosno umanjeni za 65% obveze uplate u državni proračun te iznose </w:t>
      </w:r>
      <w:r w:rsidR="00903C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678</w:t>
      </w:r>
      <w:r w:rsidR="00542472" w:rsidRPr="00A422B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kn.</w:t>
      </w:r>
      <w:r w:rsidR="009359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odnosu na prethodnu godinu ovi prihodi su </w:t>
      </w:r>
      <w:r w:rsidR="00903C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smanjeni</w:t>
      </w:r>
      <w:r w:rsidR="009359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</w:t>
      </w:r>
      <w:r w:rsidR="00DD2A2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66,4 </w:t>
      </w:r>
      <w:r w:rsidR="009359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% s obzirom da je u </w:t>
      </w:r>
      <w:r w:rsidR="00903C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prethodnoj godini </w:t>
      </w:r>
      <w:r w:rsidR="0093593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izvršena konačna otplata jednog </w:t>
      </w:r>
      <w:r w:rsidR="00903C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stana</w:t>
      </w:r>
      <w:r w:rsidR="00DD2A2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odnosno podmireno je dospjelo dugovanje</w:t>
      </w:r>
      <w:r w:rsidR="00903C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DD2A2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 su u ovoj godini priznati prihodi od redovne otplate</w:t>
      </w:r>
      <w:r w:rsidR="001C607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samo</w:t>
      </w:r>
      <w:r w:rsidR="00DD2A2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jednog stana. </w:t>
      </w:r>
      <w:r w:rsidR="00F101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strukturi ukupnih prihoda ovi prihodi </w:t>
      </w:r>
      <w:r w:rsidR="001B146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čine 0,01%</w:t>
      </w:r>
      <w:r w:rsidR="0049117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903C81" w:rsidRPr="00A422BE" w:rsidRDefault="00903C81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891A0C" w:rsidRPr="00B47703" w:rsidRDefault="00A422BE" w:rsidP="00A4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A</w:t>
      </w:r>
      <w:r w:rsidR="00891A0C"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OP </w:t>
      </w:r>
      <w:r w:rsidR="00C2171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344</w:t>
      </w:r>
      <w:r w:rsidR="00891A0C"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Rashodi za nabavu </w:t>
      </w:r>
      <w:r w:rsidR="00C2171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nefinancijske</w:t>
      </w:r>
      <w:r w:rsidR="00891A0C"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imovine</w:t>
      </w:r>
    </w:p>
    <w:p w:rsidR="00491178" w:rsidRDefault="00891A0C" w:rsidP="0052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Ovi rashodi su povećani u odnosu na prethodnu godinu</w:t>
      </w:r>
      <w:r w:rsidR="005229A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4550 kn ili 9% a odnose se na nabavu nove opreme, knjiga za knjižnicu te udžbenika.</w:t>
      </w:r>
      <w:r w:rsidR="005A7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strukturi ukupnih prihoda čine 0,7%.</w:t>
      </w:r>
    </w:p>
    <w:p w:rsidR="006C463E" w:rsidRPr="001B1CE6" w:rsidRDefault="00891A0C" w:rsidP="004911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Tijekom 2021. godine nabavljena je nova oprema u vrijednosti 43.018 kn. </w:t>
      </w:r>
      <w:r w:rsidR="006D5E6F" w:rsidRPr="001C607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Nova oprema financirana je iz sredstava pomoći</w:t>
      </w:r>
      <w:r w:rsidR="002511CE" w:rsidRPr="001C607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grada Nova Gradiška u iznosu 11.450 kn te preostali iznos iz vlastitih i namjenskih prihoda.</w:t>
      </w:r>
      <w:r w:rsidR="00775859" w:rsidRPr="001C607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6C463E" w:rsidRPr="001C607E">
        <w:rPr>
          <w:rFonts w:ascii="Times New Roman" w:hAnsi="Times New Roman" w:cs="Times New Roman"/>
          <w:sz w:val="20"/>
          <w:szCs w:val="20"/>
        </w:rPr>
        <w:t xml:space="preserve"> Tijekom godine 4 učionice smo opremili klima uređajima, praktikum za vježbeničke tvrtke novim multifunkcijskim uređajem u boji</w:t>
      </w:r>
      <w:r w:rsidR="000D5AB7" w:rsidRPr="001C607E">
        <w:rPr>
          <w:rFonts w:ascii="Times New Roman" w:hAnsi="Times New Roman" w:cs="Times New Roman"/>
          <w:sz w:val="20"/>
          <w:szCs w:val="20"/>
        </w:rPr>
        <w:t xml:space="preserve"> te školskom pločom, a za školski bend</w:t>
      </w:r>
      <w:r w:rsidR="005229AD" w:rsidRPr="001C607E">
        <w:rPr>
          <w:rFonts w:ascii="Times New Roman" w:hAnsi="Times New Roman" w:cs="Times New Roman"/>
          <w:sz w:val="20"/>
          <w:szCs w:val="20"/>
        </w:rPr>
        <w:t xml:space="preserve"> je nabavljena</w:t>
      </w:r>
      <w:r w:rsidR="000D5AB7" w:rsidRPr="001C607E">
        <w:rPr>
          <w:rFonts w:ascii="Times New Roman" w:hAnsi="Times New Roman" w:cs="Times New Roman"/>
          <w:sz w:val="20"/>
          <w:szCs w:val="20"/>
        </w:rPr>
        <w:t xml:space="preserve"> nova glazbena oprema.</w:t>
      </w:r>
      <w:r w:rsidR="000D5A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A13" w:rsidRDefault="00C93224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zdaci za nabavu udžbenika za učenike slabijeg </w:t>
      </w:r>
      <w:proofErr w:type="spellStart"/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socio</w:t>
      </w:r>
      <w:proofErr w:type="spellEnd"/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-ekonomskog statusa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iskazani su 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iznosu </w:t>
      </w:r>
      <w:r w:rsidR="001E4CA7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3.171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financirani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A40EF8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 sredstava MZO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901A13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Nabava knjiga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knjižnicu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iznosu 8943 kn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901A13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je financirana iz sredstava </w:t>
      </w:r>
      <w:r w:rsidR="00EB61C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MZO</w:t>
      </w:r>
      <w:r w:rsidR="00A40EF8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</w:t>
      </w:r>
      <w:r w:rsidR="00901A13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opremanje školske knjižnice obveznom lektirom 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 stručnom literaturom</w:t>
      </w:r>
      <w:r w:rsidR="00A40EF8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iznosu </w:t>
      </w:r>
      <w:r w:rsidR="001E4CA7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4000</w:t>
      </w:r>
      <w:r w:rsidR="00A40EF8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te iz vlastitih prihoda škole.</w:t>
      </w:r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901A13" w:rsidRPr="00901A13" w:rsidRDefault="00901A13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BB17B0" w:rsidRDefault="00BB17B0" w:rsidP="00BB17B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220BBF" w:rsidRDefault="00220BBF" w:rsidP="00FC44C0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</w:p>
    <w:p w:rsidR="00FF4A16" w:rsidRDefault="00FF4A16" w:rsidP="00FC44C0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</w:p>
    <w:p w:rsidR="00FC44C0" w:rsidRPr="00B47703" w:rsidRDefault="00FC44C0" w:rsidP="00FC44C0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B47703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AOP </w:t>
      </w:r>
      <w:r w:rsidR="005229AD" w:rsidRPr="00B47703">
        <w:rPr>
          <w:rFonts w:ascii="Times New Roman" w:hAnsi="Times New Roman" w:cs="Times New Roman"/>
          <w:b/>
          <w:i/>
          <w:sz w:val="20"/>
          <w:szCs w:val="20"/>
        </w:rPr>
        <w:t>287/</w:t>
      </w:r>
      <w:r w:rsidRPr="00B47703">
        <w:rPr>
          <w:rFonts w:ascii="Times New Roman" w:hAnsi="Times New Roman" w:cs="Times New Roman"/>
          <w:b/>
          <w:i/>
          <w:sz w:val="20"/>
          <w:szCs w:val="20"/>
        </w:rPr>
        <w:t>AOP 40</w:t>
      </w:r>
      <w:r w:rsidR="005229AD" w:rsidRPr="00B47703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Preneseni rezultat</w:t>
      </w:r>
    </w:p>
    <w:p w:rsidR="00FC44C0" w:rsidRPr="00C93224" w:rsidRDefault="00EB61C9" w:rsidP="00FC44C0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Preneseni višak prihoda poslovanja i preneseni manjak prihoda od nefinancijske imovine razlikuje se od rezultata iskazanog u bilanci na dan 31.12.2020. iz razloga što je tijekom godine na računima rezultata provedena Odluka </w:t>
      </w:r>
      <w:r w:rsidR="00FC44C0" w:rsidRPr="00C93224">
        <w:rPr>
          <w:rFonts w:ascii="Times New Roman" w:hAnsi="Times New Roman" w:cs="Times New Roman"/>
          <w:sz w:val="20"/>
          <w:szCs w:val="20"/>
        </w:rPr>
        <w:t xml:space="preserve">Školskog odbora o raspodjeli rezultata kojom se manjak prihoda od nefinancijske imovine pokriva viškom prihoda poslovanja u iznosu </w:t>
      </w:r>
      <w:r w:rsidR="00C93224" w:rsidRPr="00C93224">
        <w:rPr>
          <w:rFonts w:ascii="Times New Roman" w:hAnsi="Times New Roman" w:cs="Times New Roman"/>
          <w:sz w:val="20"/>
          <w:szCs w:val="20"/>
        </w:rPr>
        <w:t>14.266</w:t>
      </w:r>
      <w:r>
        <w:rPr>
          <w:rFonts w:ascii="Times New Roman" w:hAnsi="Times New Roman" w:cs="Times New Roman"/>
          <w:sz w:val="20"/>
          <w:szCs w:val="20"/>
        </w:rPr>
        <w:t xml:space="preserve"> kn.</w:t>
      </w:r>
    </w:p>
    <w:p w:rsidR="001B1CE6" w:rsidRPr="00C93224" w:rsidRDefault="001B1CE6" w:rsidP="003754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6ED" w:rsidRPr="00BB17B0" w:rsidRDefault="002D56ED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yellow"/>
        </w:rPr>
      </w:pPr>
    </w:p>
    <w:p w:rsidR="002D56ED" w:rsidRPr="00BB17B0" w:rsidRDefault="002D56ED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yellow"/>
        </w:rPr>
      </w:pPr>
    </w:p>
    <w:p w:rsidR="00576883" w:rsidRPr="00B74C57" w:rsidRDefault="00090E9E" w:rsidP="003754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74C57">
        <w:rPr>
          <w:rFonts w:ascii="Times New Roman" w:hAnsi="Times New Roman"/>
          <w:b/>
          <w:color w:val="000000"/>
        </w:rPr>
        <w:t>BILJEŠKE</w:t>
      </w:r>
    </w:p>
    <w:p w:rsidR="008F1EDE" w:rsidRPr="00B74C57" w:rsidRDefault="00090E9E" w:rsidP="003754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74C57">
        <w:rPr>
          <w:rFonts w:ascii="Times New Roman" w:hAnsi="Times New Roman"/>
          <w:b/>
          <w:color w:val="000000"/>
        </w:rPr>
        <w:t xml:space="preserve">UZ </w:t>
      </w:r>
      <w:r w:rsidR="008F1EDE" w:rsidRPr="00B74C57">
        <w:rPr>
          <w:rFonts w:ascii="Times New Roman" w:hAnsi="Times New Roman"/>
          <w:b/>
          <w:color w:val="000000"/>
        </w:rPr>
        <w:t>BILANC</w:t>
      </w:r>
      <w:r w:rsidRPr="00B74C57">
        <w:rPr>
          <w:rFonts w:ascii="Times New Roman" w:hAnsi="Times New Roman"/>
          <w:b/>
          <w:color w:val="000000"/>
        </w:rPr>
        <w:t>U</w:t>
      </w:r>
      <w:r w:rsidR="00576883" w:rsidRPr="00B74C57">
        <w:rPr>
          <w:rFonts w:ascii="Times New Roman" w:hAnsi="Times New Roman"/>
          <w:b/>
          <w:color w:val="000000"/>
        </w:rPr>
        <w:t xml:space="preserve"> </w:t>
      </w:r>
      <w:r w:rsidR="008F1EDE" w:rsidRPr="00B74C57">
        <w:rPr>
          <w:rFonts w:ascii="Times New Roman" w:hAnsi="Times New Roman"/>
          <w:b/>
          <w:color w:val="000000"/>
        </w:rPr>
        <w:t>(OBRAZAC BIL)</w:t>
      </w:r>
    </w:p>
    <w:p w:rsidR="008F1EDE" w:rsidRPr="00B74C57" w:rsidRDefault="008F1EDE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E2ED2" w:rsidRDefault="007E2ED2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F1EDE" w:rsidRPr="00B47703" w:rsidRDefault="008F1EDE" w:rsidP="0037542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B47703">
        <w:rPr>
          <w:rFonts w:ascii="Times New Roman" w:hAnsi="Times New Roman"/>
          <w:b/>
          <w:i/>
          <w:color w:val="000000"/>
          <w:sz w:val="20"/>
          <w:szCs w:val="20"/>
        </w:rPr>
        <w:t xml:space="preserve">AOP </w:t>
      </w:r>
      <w:r w:rsidR="008E3EB6" w:rsidRPr="00B47703">
        <w:rPr>
          <w:rFonts w:ascii="Times New Roman" w:hAnsi="Times New Roman"/>
          <w:b/>
          <w:i/>
          <w:color w:val="000000"/>
          <w:sz w:val="20"/>
          <w:szCs w:val="20"/>
        </w:rPr>
        <w:t>007 Proizvedena dugotrajna imovina</w:t>
      </w:r>
    </w:p>
    <w:p w:rsidR="00567712" w:rsidRPr="005D4FC0" w:rsidRDefault="008064FD" w:rsidP="008118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E2ED2">
        <w:rPr>
          <w:rFonts w:ascii="Times New Roman" w:hAnsi="Times New Roman" w:cs="Times New Roman"/>
          <w:sz w:val="20"/>
          <w:szCs w:val="20"/>
        </w:rPr>
        <w:t xml:space="preserve">Ova pozicija uključuje </w:t>
      </w:r>
      <w:r w:rsidR="005D4FC0" w:rsidRPr="007E2ED2">
        <w:rPr>
          <w:rFonts w:ascii="Times New Roman" w:hAnsi="Times New Roman" w:cs="Times New Roman"/>
          <w:sz w:val="20"/>
          <w:szCs w:val="20"/>
        </w:rPr>
        <w:t>građevinske objekte</w:t>
      </w:r>
      <w:r w:rsidR="00512805">
        <w:rPr>
          <w:rFonts w:ascii="Times New Roman" w:hAnsi="Times New Roman" w:cs="Times New Roman"/>
          <w:sz w:val="20"/>
          <w:szCs w:val="20"/>
        </w:rPr>
        <w:t>,</w:t>
      </w:r>
      <w:r w:rsidR="005D4FC0" w:rsidRPr="007E2ED2">
        <w:rPr>
          <w:rFonts w:ascii="Times New Roman" w:hAnsi="Times New Roman" w:cs="Times New Roman"/>
          <w:sz w:val="20"/>
          <w:szCs w:val="20"/>
        </w:rPr>
        <w:t xml:space="preserve"> opremu</w:t>
      </w:r>
      <w:r w:rsidR="00512805">
        <w:rPr>
          <w:rFonts w:ascii="Times New Roman" w:hAnsi="Times New Roman" w:cs="Times New Roman"/>
          <w:sz w:val="20"/>
          <w:szCs w:val="20"/>
        </w:rPr>
        <w:t xml:space="preserve"> i knjige</w:t>
      </w:r>
      <w:r w:rsidR="008B612E" w:rsidRPr="007E2ED2">
        <w:rPr>
          <w:rFonts w:ascii="Times New Roman" w:hAnsi="Times New Roman" w:cs="Times New Roman"/>
          <w:sz w:val="20"/>
          <w:szCs w:val="20"/>
        </w:rPr>
        <w:t xml:space="preserve">, a smanjena je u odnosu na prethodnu godinu za </w:t>
      </w:r>
      <w:r w:rsidR="007E2ED2" w:rsidRPr="007E2ED2">
        <w:rPr>
          <w:rFonts w:ascii="Times New Roman" w:hAnsi="Times New Roman" w:cs="Times New Roman"/>
          <w:sz w:val="20"/>
          <w:szCs w:val="20"/>
        </w:rPr>
        <w:t>358.631</w:t>
      </w:r>
      <w:r w:rsidR="008141F1" w:rsidRPr="007E2ED2">
        <w:rPr>
          <w:rFonts w:ascii="Times New Roman" w:hAnsi="Times New Roman" w:cs="Times New Roman"/>
          <w:sz w:val="20"/>
          <w:szCs w:val="20"/>
        </w:rPr>
        <w:t xml:space="preserve"> kn odnosno za </w:t>
      </w:r>
      <w:r w:rsidR="0016163C" w:rsidRPr="007E2ED2">
        <w:rPr>
          <w:rFonts w:ascii="Times New Roman" w:hAnsi="Times New Roman" w:cs="Times New Roman"/>
          <w:sz w:val="20"/>
          <w:szCs w:val="20"/>
        </w:rPr>
        <w:t>2,</w:t>
      </w:r>
      <w:r w:rsidR="007E2ED2" w:rsidRPr="007E2ED2">
        <w:rPr>
          <w:rFonts w:ascii="Times New Roman" w:hAnsi="Times New Roman" w:cs="Times New Roman"/>
          <w:sz w:val="20"/>
          <w:szCs w:val="20"/>
        </w:rPr>
        <w:t>4</w:t>
      </w:r>
      <w:r w:rsidR="008141F1" w:rsidRPr="007E2ED2">
        <w:rPr>
          <w:rFonts w:ascii="Times New Roman" w:hAnsi="Times New Roman" w:cs="Times New Roman"/>
          <w:sz w:val="20"/>
          <w:szCs w:val="20"/>
        </w:rPr>
        <w:t>%. Smanjenje je najvećim dijelom rezultat većeg ispravka vrijednosti postojeće imovine u odnosu na ulaganja u novu imovinu.</w:t>
      </w:r>
    </w:p>
    <w:p w:rsidR="008118AD" w:rsidRDefault="00FD5403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5D4FC0">
        <w:rPr>
          <w:rFonts w:ascii="Times New Roman" w:hAnsi="Times New Roman" w:cs="Times New Roman"/>
          <w:sz w:val="20"/>
          <w:szCs w:val="20"/>
        </w:rPr>
        <w:t>Ispravak vrijednosti</w:t>
      </w:r>
      <w:r w:rsidR="00D8774F" w:rsidRPr="005D4FC0">
        <w:rPr>
          <w:rFonts w:ascii="Times New Roman" w:hAnsi="Times New Roman" w:cs="Times New Roman"/>
          <w:sz w:val="20"/>
          <w:szCs w:val="20"/>
        </w:rPr>
        <w:t xml:space="preserve"> dugotrajne imovine</w:t>
      </w:r>
      <w:r w:rsidRPr="005D4FC0">
        <w:rPr>
          <w:rFonts w:ascii="Times New Roman" w:hAnsi="Times New Roman" w:cs="Times New Roman"/>
          <w:sz w:val="20"/>
          <w:szCs w:val="20"/>
        </w:rPr>
        <w:t xml:space="preserve"> se obračunava linearnom metodom uz primjenu godišnjih stopa propisanim Pravilnikom</w:t>
      </w:r>
      <w:r w:rsidR="008141F1" w:rsidRPr="005D4FC0">
        <w:rPr>
          <w:rFonts w:ascii="Times New Roman" w:hAnsi="Times New Roman" w:cs="Times New Roman"/>
          <w:sz w:val="20"/>
          <w:szCs w:val="20"/>
        </w:rPr>
        <w:t>.</w:t>
      </w:r>
      <w:r w:rsidRPr="005D4FC0">
        <w:rPr>
          <w:rFonts w:ascii="Times New Roman" w:hAnsi="Times New Roman" w:cs="Times New Roman"/>
          <w:sz w:val="20"/>
          <w:szCs w:val="20"/>
        </w:rPr>
        <w:t xml:space="preserve"> Prim</w:t>
      </w:r>
      <w:r w:rsidR="004E637D" w:rsidRPr="005D4FC0">
        <w:rPr>
          <w:rFonts w:ascii="Times New Roman" w:hAnsi="Times New Roman" w:cs="Times New Roman"/>
          <w:sz w:val="20"/>
          <w:szCs w:val="20"/>
        </w:rPr>
        <w:t>i</w:t>
      </w:r>
      <w:r w:rsidRPr="005D4FC0">
        <w:rPr>
          <w:rFonts w:ascii="Times New Roman" w:hAnsi="Times New Roman" w:cs="Times New Roman"/>
          <w:sz w:val="20"/>
          <w:szCs w:val="20"/>
        </w:rPr>
        <w:t>jenjene stope amortizacije iznos</w:t>
      </w:r>
      <w:r w:rsidR="00B51160" w:rsidRPr="005D4FC0">
        <w:rPr>
          <w:rFonts w:ascii="Times New Roman" w:hAnsi="Times New Roman" w:cs="Times New Roman"/>
          <w:sz w:val="20"/>
          <w:szCs w:val="20"/>
        </w:rPr>
        <w:t>e</w:t>
      </w:r>
      <w:r w:rsidRPr="005D4FC0">
        <w:rPr>
          <w:rFonts w:ascii="Times New Roman" w:hAnsi="Times New Roman" w:cs="Times New Roman"/>
          <w:sz w:val="20"/>
          <w:szCs w:val="20"/>
        </w:rPr>
        <w:t xml:space="preserve"> od 1,25% za građevinske objekte, 12,5% do 25% za postrojenja i opremu te 25% za nematerijalnu imovinu. </w:t>
      </w:r>
      <w:r w:rsidR="0016163C">
        <w:rPr>
          <w:rFonts w:ascii="Times New Roman" w:hAnsi="Times New Roman" w:cs="Times New Roman"/>
          <w:sz w:val="20"/>
          <w:szCs w:val="20"/>
        </w:rPr>
        <w:t>Imovina čiji je pojedinačni trošak nabave niži od 3.500 kn otpisuje se jednokratno stavljanjem u upotrebu.</w:t>
      </w:r>
    </w:p>
    <w:p w:rsidR="007E2ED2" w:rsidRDefault="007E2ED2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6163C" w:rsidRPr="00B43F7B" w:rsidRDefault="0016163C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6163C" w:rsidRPr="00B47703" w:rsidRDefault="0016163C" w:rsidP="003547FA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AOP 035 – Ispravak vrijednosti knjiga </w:t>
      </w:r>
    </w:p>
    <w:p w:rsidR="000529BF" w:rsidRPr="005D4FC0" w:rsidRDefault="000529BF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Iznos iskazan na ovoj poziciji odnosi se</w:t>
      </w:r>
      <w:r w:rsidR="007E2ED2">
        <w:rPr>
          <w:rFonts w:ascii="Times New Roman" w:hAnsi="Times New Roman" w:cs="Times New Roman"/>
          <w:sz w:val="20"/>
          <w:szCs w:val="20"/>
        </w:rPr>
        <w:t xml:space="preserve"> na jednokratni otpis udžbenika u iznosu 6.097 kn te otpis knjiga po provedenoj reviziji knjižn</w:t>
      </w:r>
      <w:r w:rsidR="00D20CB1">
        <w:rPr>
          <w:rFonts w:ascii="Times New Roman" w:hAnsi="Times New Roman" w:cs="Times New Roman"/>
          <w:sz w:val="20"/>
          <w:szCs w:val="20"/>
        </w:rPr>
        <w:t>ične</w:t>
      </w:r>
      <w:r w:rsidR="007E2ED2">
        <w:rPr>
          <w:rFonts w:ascii="Times New Roman" w:hAnsi="Times New Roman" w:cs="Times New Roman"/>
          <w:sz w:val="20"/>
          <w:szCs w:val="20"/>
        </w:rPr>
        <w:t xml:space="preserve"> građe u iznosu 1.825 kn.</w:t>
      </w:r>
    </w:p>
    <w:p w:rsidR="00FA2515" w:rsidRPr="00BB17B0" w:rsidRDefault="00FA2515" w:rsidP="008118AD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37928" w:rsidRPr="00B47703" w:rsidRDefault="004E637D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>AOP 08</w:t>
      </w:r>
      <w:r w:rsidR="000529BF" w:rsidRPr="00B47703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Ostala potraživanja</w:t>
      </w:r>
    </w:p>
    <w:p w:rsidR="00C93224" w:rsidRDefault="004E637D" w:rsidP="00375422">
      <w:pPr>
        <w:jc w:val="both"/>
        <w:rPr>
          <w:rFonts w:ascii="Times New Roman" w:hAnsi="Times New Roman" w:cs="Times New Roman"/>
          <w:sz w:val="20"/>
          <w:szCs w:val="20"/>
        </w:rPr>
      </w:pPr>
      <w:r w:rsidRPr="00B02E4E">
        <w:rPr>
          <w:rFonts w:ascii="Times New Roman" w:hAnsi="Times New Roman" w:cs="Times New Roman"/>
          <w:sz w:val="20"/>
          <w:szCs w:val="20"/>
        </w:rPr>
        <w:t xml:space="preserve">Stanje potraživanja na kontu 129 iznosi </w:t>
      </w:r>
      <w:r w:rsidR="001E4CA7">
        <w:rPr>
          <w:rFonts w:ascii="Times New Roman" w:hAnsi="Times New Roman" w:cs="Times New Roman"/>
          <w:sz w:val="20"/>
          <w:szCs w:val="20"/>
        </w:rPr>
        <w:t>77.827</w:t>
      </w:r>
      <w:r w:rsidRPr="00B02E4E">
        <w:rPr>
          <w:rFonts w:ascii="Times New Roman" w:hAnsi="Times New Roman" w:cs="Times New Roman"/>
          <w:sz w:val="20"/>
          <w:szCs w:val="20"/>
        </w:rPr>
        <w:t xml:space="preserve"> kn, a odnosi se na potraživanja</w:t>
      </w:r>
      <w:r w:rsidR="00B4002A" w:rsidRPr="00B02E4E">
        <w:rPr>
          <w:rFonts w:ascii="Times New Roman" w:hAnsi="Times New Roman" w:cs="Times New Roman"/>
          <w:sz w:val="20"/>
          <w:szCs w:val="20"/>
        </w:rPr>
        <w:t xml:space="preserve"> od Hrvatskog zavoda za zdravstveno osiguranje </w:t>
      </w:r>
      <w:r w:rsidR="000529BF">
        <w:rPr>
          <w:rFonts w:ascii="Times New Roman" w:hAnsi="Times New Roman" w:cs="Times New Roman"/>
          <w:sz w:val="20"/>
          <w:szCs w:val="20"/>
        </w:rPr>
        <w:t>za naknade bolovanja koje se isplaćuju na teret zavoda</w:t>
      </w:r>
      <w:r w:rsidR="00512805">
        <w:rPr>
          <w:rFonts w:ascii="Times New Roman" w:hAnsi="Times New Roman" w:cs="Times New Roman"/>
          <w:sz w:val="20"/>
          <w:szCs w:val="20"/>
        </w:rPr>
        <w:t xml:space="preserve">. </w:t>
      </w:r>
      <w:r w:rsidR="00583559">
        <w:rPr>
          <w:rFonts w:ascii="Times New Roman" w:hAnsi="Times New Roman" w:cs="Times New Roman"/>
          <w:sz w:val="20"/>
          <w:szCs w:val="20"/>
        </w:rPr>
        <w:t>Značajan iznos na ovoj poziciji je iz razloga što imamo dvije djelatnice na dugotrajnom bolovanju a prema uputi MF tijekom godine provedena je refundacija potraživanja od HZZO-a s dospijećem zaključno sa 10.04.2020.</w:t>
      </w:r>
    </w:p>
    <w:p w:rsidR="00220BBF" w:rsidRDefault="00220BBF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37928" w:rsidRPr="00B47703" w:rsidRDefault="00337928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>AOP 14</w:t>
      </w:r>
      <w:r w:rsidR="00627AB0" w:rsidRPr="00B47703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Potraživanja za prihode poslovanja</w:t>
      </w:r>
    </w:p>
    <w:p w:rsidR="00F25A45" w:rsidRDefault="001E2E5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B02E4E">
        <w:rPr>
          <w:rFonts w:ascii="Times New Roman" w:hAnsi="Times New Roman" w:cs="Times New Roman"/>
          <w:sz w:val="20"/>
          <w:szCs w:val="20"/>
        </w:rPr>
        <w:t>Ova pozicija</w:t>
      </w:r>
      <w:r w:rsidR="00337928" w:rsidRPr="00B02E4E">
        <w:rPr>
          <w:rFonts w:ascii="Times New Roman" w:hAnsi="Times New Roman" w:cs="Times New Roman"/>
          <w:sz w:val="20"/>
          <w:szCs w:val="20"/>
        </w:rPr>
        <w:t xml:space="preserve"> uklju</w:t>
      </w:r>
      <w:r w:rsidR="001F66A2" w:rsidRPr="00B02E4E">
        <w:rPr>
          <w:rFonts w:ascii="Times New Roman" w:hAnsi="Times New Roman" w:cs="Times New Roman"/>
          <w:sz w:val="20"/>
          <w:szCs w:val="20"/>
        </w:rPr>
        <w:t>čuj</w:t>
      </w:r>
      <w:r w:rsidRPr="00B02E4E">
        <w:rPr>
          <w:rFonts w:ascii="Times New Roman" w:hAnsi="Times New Roman" w:cs="Times New Roman"/>
          <w:sz w:val="20"/>
          <w:szCs w:val="20"/>
        </w:rPr>
        <w:t>e</w:t>
      </w:r>
      <w:r w:rsidR="00F25A45">
        <w:rPr>
          <w:rFonts w:ascii="Times New Roman" w:hAnsi="Times New Roman" w:cs="Times New Roman"/>
          <w:sz w:val="20"/>
          <w:szCs w:val="20"/>
        </w:rPr>
        <w:t>:</w:t>
      </w:r>
    </w:p>
    <w:p w:rsidR="00C84F1A" w:rsidRDefault="001F66A2" w:rsidP="00B72B3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E4E">
        <w:rPr>
          <w:rFonts w:ascii="Times New Roman" w:hAnsi="Times New Roman" w:cs="Times New Roman"/>
          <w:sz w:val="20"/>
          <w:szCs w:val="20"/>
        </w:rPr>
        <w:t>potraživanja za prihode od pruženih usluga</w:t>
      </w:r>
      <w:r w:rsidR="008C4B47">
        <w:rPr>
          <w:rFonts w:ascii="Times New Roman" w:hAnsi="Times New Roman" w:cs="Times New Roman"/>
          <w:sz w:val="20"/>
          <w:szCs w:val="20"/>
        </w:rPr>
        <w:t xml:space="preserve"> (najam prostora) za mjesec prosinac</w:t>
      </w:r>
      <w:r w:rsidRPr="00B02E4E">
        <w:rPr>
          <w:rFonts w:ascii="Times New Roman" w:hAnsi="Times New Roman" w:cs="Times New Roman"/>
          <w:sz w:val="20"/>
          <w:szCs w:val="20"/>
        </w:rPr>
        <w:t xml:space="preserve"> </w:t>
      </w:r>
      <w:r w:rsidR="00583559">
        <w:rPr>
          <w:rFonts w:ascii="Times New Roman" w:hAnsi="Times New Roman" w:cs="Times New Roman"/>
          <w:sz w:val="20"/>
          <w:szCs w:val="20"/>
        </w:rPr>
        <w:t>u</w:t>
      </w:r>
      <w:r w:rsidRPr="00B02E4E">
        <w:rPr>
          <w:rFonts w:ascii="Times New Roman" w:hAnsi="Times New Roman" w:cs="Times New Roman"/>
          <w:sz w:val="20"/>
          <w:szCs w:val="20"/>
        </w:rPr>
        <w:t xml:space="preserve"> iznosu </w:t>
      </w:r>
      <w:r w:rsidR="009732D8">
        <w:rPr>
          <w:rFonts w:ascii="Times New Roman" w:hAnsi="Times New Roman" w:cs="Times New Roman"/>
          <w:sz w:val="20"/>
          <w:szCs w:val="20"/>
        </w:rPr>
        <w:t>14.60</w:t>
      </w:r>
      <w:r w:rsidR="00583559">
        <w:rPr>
          <w:rFonts w:ascii="Times New Roman" w:hAnsi="Times New Roman" w:cs="Times New Roman"/>
          <w:sz w:val="20"/>
          <w:szCs w:val="20"/>
        </w:rPr>
        <w:t>6</w:t>
      </w:r>
      <w:r w:rsidRPr="00B02E4E">
        <w:rPr>
          <w:rFonts w:ascii="Times New Roman" w:hAnsi="Times New Roman" w:cs="Times New Roman"/>
          <w:sz w:val="20"/>
          <w:szCs w:val="20"/>
        </w:rPr>
        <w:t xml:space="preserve"> kn</w:t>
      </w:r>
      <w:r w:rsidR="004676F3" w:rsidRPr="00B02E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5A45" w:rsidRDefault="00583559" w:rsidP="00B72B3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potraživanja za sredstva uplaćena u nadležni proračun</w:t>
      </w:r>
      <w:r w:rsidR="00F25A45" w:rsidRPr="00B02E4E">
        <w:rPr>
          <w:rFonts w:ascii="Times New Roman" w:hAnsi="Times New Roman" w:cs="Times New Roman"/>
          <w:sz w:val="20"/>
          <w:szCs w:val="20"/>
        </w:rPr>
        <w:t xml:space="preserve"> u iznosu </w:t>
      </w:r>
      <w:r w:rsidR="009732D8">
        <w:rPr>
          <w:rFonts w:ascii="Times New Roman" w:hAnsi="Times New Roman" w:cs="Times New Roman"/>
          <w:sz w:val="20"/>
          <w:szCs w:val="20"/>
        </w:rPr>
        <w:t>109.726</w:t>
      </w:r>
      <w:r w:rsidR="00F25A45" w:rsidRPr="00B02E4E">
        <w:rPr>
          <w:rFonts w:ascii="Times New Roman" w:hAnsi="Times New Roman" w:cs="Times New Roman"/>
          <w:sz w:val="20"/>
          <w:szCs w:val="20"/>
        </w:rPr>
        <w:t xml:space="preserve"> kn</w:t>
      </w:r>
    </w:p>
    <w:p w:rsidR="009732D8" w:rsidRDefault="009732D8" w:rsidP="00B72B3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potraživanja za ostale nespomenute prihode u iznosu 1.079  kn</w:t>
      </w:r>
    </w:p>
    <w:p w:rsidR="00151C90" w:rsidRDefault="00151C90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337928" w:rsidRDefault="00F25A4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F66A2" w:rsidRPr="00B02E4E">
        <w:rPr>
          <w:rFonts w:ascii="Times New Roman" w:hAnsi="Times New Roman" w:cs="Times New Roman"/>
          <w:sz w:val="20"/>
          <w:szCs w:val="20"/>
        </w:rPr>
        <w:t xml:space="preserve">otraživanja za </w:t>
      </w:r>
      <w:r w:rsidR="008C4B47">
        <w:rPr>
          <w:rFonts w:ascii="Times New Roman" w:hAnsi="Times New Roman" w:cs="Times New Roman"/>
          <w:sz w:val="20"/>
          <w:szCs w:val="20"/>
        </w:rPr>
        <w:t>sredstva uplaćena u nadležni</w:t>
      </w:r>
      <w:r w:rsidR="001F66A2" w:rsidRPr="00B02E4E">
        <w:rPr>
          <w:rFonts w:ascii="Times New Roman" w:hAnsi="Times New Roman" w:cs="Times New Roman"/>
          <w:sz w:val="20"/>
          <w:szCs w:val="20"/>
        </w:rPr>
        <w:t xml:space="preserve"> proračun odnose se na potraživanja od županijske riznice za iznos uplaćenih, a neutrošenih vlastitih i namjenskih prihoda (prihod</w:t>
      </w:r>
      <w:r w:rsidR="00CE37E3">
        <w:rPr>
          <w:rFonts w:ascii="Times New Roman" w:hAnsi="Times New Roman" w:cs="Times New Roman"/>
          <w:sz w:val="20"/>
          <w:szCs w:val="20"/>
        </w:rPr>
        <w:t>a</w:t>
      </w:r>
      <w:r w:rsidR="001F66A2" w:rsidRPr="00B02E4E">
        <w:rPr>
          <w:rFonts w:ascii="Times New Roman" w:hAnsi="Times New Roman" w:cs="Times New Roman"/>
          <w:sz w:val="20"/>
          <w:szCs w:val="20"/>
        </w:rPr>
        <w:t xml:space="preserve"> za posebne namjene, pomoći</w:t>
      </w:r>
      <w:r w:rsidR="00CE37E3">
        <w:rPr>
          <w:rFonts w:ascii="Times New Roman" w:hAnsi="Times New Roman" w:cs="Times New Roman"/>
          <w:sz w:val="20"/>
          <w:szCs w:val="20"/>
        </w:rPr>
        <w:t>, donacij</w:t>
      </w:r>
      <w:r w:rsidR="00151C90">
        <w:rPr>
          <w:rFonts w:ascii="Times New Roman" w:hAnsi="Times New Roman" w:cs="Times New Roman"/>
          <w:sz w:val="20"/>
          <w:szCs w:val="20"/>
        </w:rPr>
        <w:t xml:space="preserve">a, projekta </w:t>
      </w:r>
      <w:proofErr w:type="spellStart"/>
      <w:r w:rsidR="00151C90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="00151C90">
        <w:rPr>
          <w:rFonts w:ascii="Times New Roman" w:hAnsi="Times New Roman" w:cs="Times New Roman"/>
          <w:sz w:val="20"/>
          <w:szCs w:val="20"/>
        </w:rPr>
        <w:t xml:space="preserve">+ Demeter </w:t>
      </w:r>
      <w:r w:rsidR="001F66A2" w:rsidRPr="00B02E4E">
        <w:rPr>
          <w:rFonts w:ascii="Times New Roman" w:hAnsi="Times New Roman" w:cs="Times New Roman"/>
          <w:sz w:val="20"/>
          <w:szCs w:val="20"/>
        </w:rPr>
        <w:t xml:space="preserve"> i prihod</w:t>
      </w:r>
      <w:r w:rsidR="00CE37E3">
        <w:rPr>
          <w:rFonts w:ascii="Times New Roman" w:hAnsi="Times New Roman" w:cs="Times New Roman"/>
          <w:sz w:val="20"/>
          <w:szCs w:val="20"/>
        </w:rPr>
        <w:t>a</w:t>
      </w:r>
      <w:r w:rsidR="001F66A2" w:rsidRPr="00B02E4E">
        <w:rPr>
          <w:rFonts w:ascii="Times New Roman" w:hAnsi="Times New Roman" w:cs="Times New Roman"/>
          <w:sz w:val="20"/>
          <w:szCs w:val="20"/>
        </w:rPr>
        <w:t xml:space="preserve"> od prodaje nefinancijske imovine)</w:t>
      </w:r>
      <w:r>
        <w:rPr>
          <w:rFonts w:ascii="Times New Roman" w:hAnsi="Times New Roman" w:cs="Times New Roman"/>
          <w:sz w:val="20"/>
          <w:szCs w:val="20"/>
        </w:rPr>
        <w:t>. Iznos na ovoj poziciji predstavlja novčana sredstva koje škola ima na raspolaganju na računu riznice</w:t>
      </w:r>
      <w:r w:rsidR="009732D8">
        <w:rPr>
          <w:rFonts w:ascii="Times New Roman" w:hAnsi="Times New Roman" w:cs="Times New Roman"/>
          <w:sz w:val="20"/>
          <w:szCs w:val="20"/>
        </w:rPr>
        <w:t xml:space="preserve"> BPŽ.</w:t>
      </w:r>
    </w:p>
    <w:p w:rsidR="009732D8" w:rsidRDefault="009732D8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Potraživanja za ostale nespomenute prihode odnosi se na potraživanje za naknadu štete za lom stakla prema sklopljenom </w:t>
      </w:r>
      <w:r w:rsidRPr="00C93224">
        <w:rPr>
          <w:rFonts w:ascii="Times New Roman" w:hAnsi="Times New Roman" w:cs="Times New Roman"/>
          <w:sz w:val="20"/>
          <w:szCs w:val="20"/>
        </w:rPr>
        <w:t xml:space="preserve">sporazumu o </w:t>
      </w:r>
      <w:proofErr w:type="spellStart"/>
      <w:r w:rsidRPr="00C93224">
        <w:rPr>
          <w:rFonts w:ascii="Times New Roman" w:hAnsi="Times New Roman" w:cs="Times New Roman"/>
          <w:sz w:val="20"/>
          <w:szCs w:val="20"/>
        </w:rPr>
        <w:t>izvansudskoj</w:t>
      </w:r>
      <w:proofErr w:type="spellEnd"/>
      <w:r w:rsidRPr="00C93224">
        <w:rPr>
          <w:rFonts w:ascii="Times New Roman" w:hAnsi="Times New Roman" w:cs="Times New Roman"/>
          <w:sz w:val="20"/>
          <w:szCs w:val="20"/>
        </w:rPr>
        <w:t xml:space="preserve"> nagodbi sa osiguravajućom kućom u iznosu  847</w:t>
      </w:r>
      <w:r w:rsidR="00D20CB1">
        <w:rPr>
          <w:rFonts w:ascii="Times New Roman" w:hAnsi="Times New Roman" w:cs="Times New Roman"/>
          <w:sz w:val="20"/>
          <w:szCs w:val="20"/>
        </w:rPr>
        <w:t xml:space="preserve"> </w:t>
      </w:r>
      <w:r w:rsidRPr="00C93224">
        <w:rPr>
          <w:rFonts w:ascii="Times New Roman" w:hAnsi="Times New Roman" w:cs="Times New Roman"/>
          <w:sz w:val="20"/>
          <w:szCs w:val="20"/>
        </w:rPr>
        <w:t>kn te potraživanje za povrat putnih troškova  edukacije u iznosu 232 kn.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3224" w:rsidRDefault="00C93224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AD3D8F" w:rsidRDefault="00AD3D8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AD3D8F" w:rsidRPr="00B47703" w:rsidRDefault="00AD3D8F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AOP </w:t>
      </w:r>
      <w:r w:rsidR="008C4B47">
        <w:rPr>
          <w:rFonts w:ascii="Times New Roman" w:hAnsi="Times New Roman" w:cs="Times New Roman"/>
          <w:b/>
          <w:i/>
          <w:sz w:val="20"/>
          <w:szCs w:val="20"/>
        </w:rPr>
        <w:t>159</w:t>
      </w: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Potraživanja od prodaje </w:t>
      </w:r>
      <w:r w:rsidR="008C4B47">
        <w:rPr>
          <w:rFonts w:ascii="Times New Roman" w:hAnsi="Times New Roman" w:cs="Times New Roman"/>
          <w:b/>
          <w:i/>
          <w:sz w:val="20"/>
          <w:szCs w:val="20"/>
        </w:rPr>
        <w:t>nefinancijske imovine</w:t>
      </w:r>
    </w:p>
    <w:p w:rsidR="001E2E55" w:rsidRDefault="00AD3D8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AD3D8F">
        <w:rPr>
          <w:rFonts w:ascii="Times New Roman" w:hAnsi="Times New Roman" w:cs="Times New Roman"/>
          <w:sz w:val="20"/>
          <w:szCs w:val="20"/>
        </w:rPr>
        <w:t>Ova pozicija</w:t>
      </w:r>
      <w:r w:rsidR="008C4B47">
        <w:rPr>
          <w:rFonts w:ascii="Times New Roman" w:hAnsi="Times New Roman" w:cs="Times New Roman"/>
          <w:sz w:val="20"/>
          <w:szCs w:val="20"/>
        </w:rPr>
        <w:t xml:space="preserve"> iskazana je u iznosu 834 kn a</w:t>
      </w:r>
      <w:r w:rsidRPr="00AD3D8F">
        <w:rPr>
          <w:rFonts w:ascii="Times New Roman" w:hAnsi="Times New Roman" w:cs="Times New Roman"/>
          <w:sz w:val="20"/>
          <w:szCs w:val="20"/>
        </w:rPr>
        <w:t xml:space="preserve"> odnosi se na potraživanja za </w:t>
      </w:r>
      <w:r w:rsidR="009732D8">
        <w:rPr>
          <w:rFonts w:ascii="Times New Roman" w:hAnsi="Times New Roman" w:cs="Times New Roman"/>
          <w:sz w:val="20"/>
          <w:szCs w:val="20"/>
        </w:rPr>
        <w:t>stan</w:t>
      </w:r>
      <w:r w:rsidRPr="00AD3D8F">
        <w:rPr>
          <w:rFonts w:ascii="Times New Roman" w:hAnsi="Times New Roman" w:cs="Times New Roman"/>
          <w:sz w:val="20"/>
          <w:szCs w:val="20"/>
        </w:rPr>
        <w:t xml:space="preserve"> koji </w:t>
      </w:r>
      <w:r w:rsidR="009732D8">
        <w:rPr>
          <w:rFonts w:ascii="Times New Roman" w:hAnsi="Times New Roman" w:cs="Times New Roman"/>
          <w:sz w:val="20"/>
          <w:szCs w:val="20"/>
        </w:rPr>
        <w:t>je</w:t>
      </w:r>
      <w:r w:rsidRPr="00AD3D8F">
        <w:rPr>
          <w:rFonts w:ascii="Times New Roman" w:hAnsi="Times New Roman" w:cs="Times New Roman"/>
          <w:sz w:val="20"/>
          <w:szCs w:val="20"/>
        </w:rPr>
        <w:t xml:space="preserve"> prodan na obročnu otplatu na temelju odredbi Zakona o prodaji stanova na kojima je postojalo stanarsko pravo</w:t>
      </w:r>
      <w:r w:rsidR="009732D8">
        <w:rPr>
          <w:rFonts w:ascii="Times New Roman" w:hAnsi="Times New Roman" w:cs="Times New Roman"/>
          <w:sz w:val="20"/>
          <w:szCs w:val="20"/>
        </w:rPr>
        <w:t>, a</w:t>
      </w:r>
      <w:r w:rsidR="00CF1ED4">
        <w:rPr>
          <w:rFonts w:ascii="Times New Roman" w:hAnsi="Times New Roman" w:cs="Times New Roman"/>
          <w:sz w:val="20"/>
          <w:szCs w:val="20"/>
        </w:rPr>
        <w:t xml:space="preserve">  rok otplate je sredinom 2022</w:t>
      </w:r>
      <w:r w:rsidR="009732D8">
        <w:rPr>
          <w:rFonts w:ascii="Times New Roman" w:hAnsi="Times New Roman" w:cs="Times New Roman"/>
          <w:sz w:val="20"/>
          <w:szCs w:val="20"/>
        </w:rPr>
        <w:t>.</w:t>
      </w:r>
      <w:r w:rsidR="00CF1ED4">
        <w:rPr>
          <w:rFonts w:ascii="Times New Roman" w:hAnsi="Times New Roman" w:cs="Times New Roman"/>
          <w:sz w:val="20"/>
          <w:szCs w:val="20"/>
        </w:rPr>
        <w:t>g</w:t>
      </w:r>
    </w:p>
    <w:p w:rsidR="00C93224" w:rsidRDefault="00C93224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9732D8" w:rsidRPr="00BB17B0" w:rsidRDefault="009732D8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D3024" w:rsidRPr="00B47703" w:rsidRDefault="001E2E55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AOP </w:t>
      </w:r>
      <w:r w:rsidR="001C75EB" w:rsidRPr="00B47703">
        <w:rPr>
          <w:rFonts w:ascii="Times New Roman" w:hAnsi="Times New Roman" w:cs="Times New Roman"/>
          <w:b/>
          <w:i/>
          <w:sz w:val="20"/>
          <w:szCs w:val="20"/>
        </w:rPr>
        <w:t>16</w:t>
      </w:r>
      <w:r w:rsidR="00CF1ED4" w:rsidRPr="00B4770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ED3024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Rashodi budućih razdoblja</w:t>
      </w:r>
    </w:p>
    <w:p w:rsidR="00387728" w:rsidRDefault="00387728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56115">
        <w:rPr>
          <w:rFonts w:ascii="Times New Roman" w:hAnsi="Times New Roman" w:cs="Times New Roman"/>
          <w:sz w:val="20"/>
          <w:szCs w:val="20"/>
        </w:rPr>
        <w:t xml:space="preserve">Na ovoj poziciji evidentirani su kontinuirani rashodi – trinaesti rashod </w:t>
      </w:r>
      <w:r w:rsidR="00C56115" w:rsidRPr="00C56115">
        <w:rPr>
          <w:rFonts w:ascii="Times New Roman" w:hAnsi="Times New Roman" w:cs="Times New Roman"/>
          <w:sz w:val="20"/>
          <w:szCs w:val="20"/>
        </w:rPr>
        <w:t>za plaću za mjesec prosinac 202</w:t>
      </w:r>
      <w:r w:rsidR="009732D8">
        <w:rPr>
          <w:rFonts w:ascii="Times New Roman" w:hAnsi="Times New Roman" w:cs="Times New Roman"/>
          <w:sz w:val="20"/>
          <w:szCs w:val="20"/>
        </w:rPr>
        <w:t>1</w:t>
      </w:r>
      <w:r w:rsidR="00C56115" w:rsidRPr="00C56115">
        <w:rPr>
          <w:rFonts w:ascii="Times New Roman" w:hAnsi="Times New Roman" w:cs="Times New Roman"/>
          <w:sz w:val="20"/>
          <w:szCs w:val="20"/>
        </w:rPr>
        <w:t>. sukladno čl.39. Pravilnika o proračunskom računovodstvu.</w:t>
      </w:r>
      <w:r w:rsidRPr="00C56115">
        <w:rPr>
          <w:rFonts w:ascii="Times New Roman" w:hAnsi="Times New Roman" w:cs="Times New Roman"/>
          <w:sz w:val="20"/>
          <w:szCs w:val="20"/>
        </w:rPr>
        <w:t xml:space="preserve"> </w:t>
      </w:r>
      <w:r w:rsidR="001266CE">
        <w:rPr>
          <w:rFonts w:ascii="Times New Roman" w:hAnsi="Times New Roman" w:cs="Times New Roman"/>
          <w:sz w:val="20"/>
          <w:szCs w:val="20"/>
        </w:rPr>
        <w:t>Ovi rashodi su za 7,2 % veći nego za prethodnu godinu budući da je zbog povećanja osnovice i dodataka veći obračun plaće za mjesec prosinac</w:t>
      </w:r>
      <w:r w:rsidR="00C93224">
        <w:rPr>
          <w:rFonts w:ascii="Times New Roman" w:hAnsi="Times New Roman" w:cs="Times New Roman"/>
          <w:sz w:val="20"/>
          <w:szCs w:val="20"/>
        </w:rPr>
        <w:t>.</w:t>
      </w:r>
    </w:p>
    <w:p w:rsidR="00C93224" w:rsidRPr="00C56115" w:rsidRDefault="00C93224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11723" w:rsidRPr="00C56115" w:rsidRDefault="00FC44C0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20BBF" w:rsidRDefault="00220BBF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11723" w:rsidRDefault="00411723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AOP </w:t>
      </w:r>
      <w:r w:rsidR="001266CE" w:rsidRPr="00B47703">
        <w:rPr>
          <w:rFonts w:ascii="Times New Roman" w:hAnsi="Times New Roman" w:cs="Times New Roman"/>
          <w:b/>
          <w:i/>
          <w:sz w:val="20"/>
          <w:szCs w:val="20"/>
        </w:rPr>
        <w:t>170 Obveze</w:t>
      </w:r>
    </w:p>
    <w:p w:rsidR="00761922" w:rsidRDefault="00025FD3" w:rsidP="001266C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025FD3">
        <w:rPr>
          <w:rFonts w:ascii="Times New Roman" w:hAnsi="Times New Roman" w:cs="Times New Roman"/>
          <w:sz w:val="20"/>
          <w:szCs w:val="20"/>
        </w:rPr>
        <w:t>Stanje obveza</w:t>
      </w:r>
      <w:r>
        <w:rPr>
          <w:rFonts w:ascii="Times New Roman" w:hAnsi="Times New Roman" w:cs="Times New Roman"/>
          <w:sz w:val="20"/>
          <w:szCs w:val="20"/>
        </w:rPr>
        <w:t xml:space="preserve"> na kraju 2021. godine iznosi 805.388 kn i razlikuje se od stanja obveza iskazanih u obrascu Obveze na poziciji AOP 038 za iznos 25.869 kn. Razlika se odnosi na poziciju AOP 229- odgođeno plaćanje rashoda</w:t>
      </w:r>
      <w:r w:rsidR="00A10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5A45" w:rsidRDefault="00A10656" w:rsidP="001266C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Obveze se sastoje od slijedećih obveza.</w:t>
      </w:r>
      <w:r w:rsidR="001266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66CE" w:rsidRPr="00226C12" w:rsidRDefault="001266CE" w:rsidP="001266C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27" w:type="dxa"/>
        <w:tblInd w:w="113" w:type="dxa"/>
        <w:tblLook w:val="04A0" w:firstRow="1" w:lastRow="0" w:firstColumn="1" w:lastColumn="0" w:noHBand="0" w:noVBand="1"/>
      </w:tblPr>
      <w:tblGrid>
        <w:gridCol w:w="666"/>
        <w:gridCol w:w="276"/>
        <w:gridCol w:w="5964"/>
        <w:gridCol w:w="1160"/>
        <w:gridCol w:w="261"/>
        <w:gridCol w:w="900"/>
      </w:tblGrid>
      <w:tr w:rsidR="007A7F17" w:rsidRPr="007A7F17" w:rsidTr="00717B26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iznos u kn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struktura %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zaposlene (uključivo poreze i doprinose iz i na plaću)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plaću za mjesec prosinac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538.739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69,11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plaću za mjesec prosinac-projekt RCK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21.937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2,81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prekovremeni rad u dvorani za prosinac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0,26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plaću za prosinac i božićnicu pomoćnika u nastavi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4.891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0,63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materijalna prava (regres, </w:t>
            </w:r>
            <w:proofErr w:type="spellStart"/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jub.nagrade</w:t>
            </w:r>
            <w:proofErr w:type="spellEnd"/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darovi) za mjesec  prosinac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14.829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1,90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naknadu za e-tehničara </w:t>
            </w:r>
            <w:r w:rsidR="00A106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mjesec prosinac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0,05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razlika plaće za razdoblje 2015-2017 po pravomoćnoj sudskoj presudi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2.981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0,38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prema dobavljačima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35.635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4,57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naknadu troškova prijevoza zaposlenika za prosinac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23.826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3,06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službena putovanja za prosinac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11.408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1,46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troškove testiranja zaposlenika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0,62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po ugovoru o djelu-sređivanje arhivske građe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7.696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0,99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naknadu zbog </w:t>
            </w:r>
            <w:proofErr w:type="spellStart"/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nezapoš.određene</w:t>
            </w:r>
            <w:proofErr w:type="spellEnd"/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kvote invalida za prosinac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1.700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0,22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troškove sudskih postupaka po </w:t>
            </w:r>
            <w:proofErr w:type="spellStart"/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prav.sudskoj</w:t>
            </w:r>
            <w:proofErr w:type="spellEnd"/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presudi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0,28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financijske rashode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zatezne kamate iz poslovnih odnosa (dobavljači) za prosinac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zatezne kamate po pravomoćnoj sudskoj presudi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0,12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78.097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10,02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prema dobavljačima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27.414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3,52</w:t>
            </w:r>
          </w:p>
        </w:tc>
      </w:tr>
      <w:tr w:rsidR="007A7F17" w:rsidRPr="007A7F17" w:rsidTr="00717B26">
        <w:trPr>
          <w:trHeight w:val="1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779.519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A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</w:t>
            </w:r>
          </w:p>
        </w:tc>
      </w:tr>
      <w:tr w:rsidR="007A7F17" w:rsidRPr="007A7F17" w:rsidTr="00717B26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17" w:rsidRPr="007A7F17" w:rsidRDefault="007A7F17" w:rsidP="007A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17B26" w:rsidRDefault="00717B26" w:rsidP="00717B2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AD278F">
        <w:rPr>
          <w:rFonts w:ascii="Times New Roman" w:hAnsi="Times New Roman" w:cs="Times New Roman"/>
          <w:sz w:val="20"/>
          <w:szCs w:val="20"/>
        </w:rPr>
        <w:t>Ostale tekuće obveze odnose se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17B26" w:rsidRDefault="00717B26" w:rsidP="00717B2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278F">
        <w:rPr>
          <w:rFonts w:ascii="Times New Roman" w:hAnsi="Times New Roman" w:cs="Times New Roman"/>
          <w:sz w:val="20"/>
          <w:szCs w:val="20"/>
        </w:rPr>
        <w:t>obveze za uplatu</w:t>
      </w:r>
      <w:r>
        <w:rPr>
          <w:rFonts w:ascii="Times New Roman" w:hAnsi="Times New Roman" w:cs="Times New Roman"/>
          <w:sz w:val="20"/>
          <w:szCs w:val="20"/>
        </w:rPr>
        <w:t xml:space="preserve"> u državni proračun</w:t>
      </w:r>
      <w:r w:rsidRPr="00AD278F">
        <w:rPr>
          <w:rFonts w:ascii="Times New Roman" w:hAnsi="Times New Roman" w:cs="Times New Roman"/>
          <w:sz w:val="20"/>
          <w:szCs w:val="20"/>
        </w:rPr>
        <w:t xml:space="preserve"> 65% sredstava od otplate stanova na kojima je postojalo stanarsko pravo u iznosu </w:t>
      </w:r>
      <w:r w:rsidR="009D2BFA">
        <w:rPr>
          <w:rFonts w:ascii="Times New Roman" w:hAnsi="Times New Roman" w:cs="Times New Roman"/>
          <w:sz w:val="20"/>
          <w:szCs w:val="20"/>
        </w:rPr>
        <w:t>270 kn</w:t>
      </w:r>
    </w:p>
    <w:p w:rsidR="00717B26" w:rsidRDefault="00717B26" w:rsidP="00717B2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278F">
        <w:rPr>
          <w:rFonts w:ascii="Times New Roman" w:hAnsi="Times New Roman" w:cs="Times New Roman"/>
          <w:sz w:val="20"/>
          <w:szCs w:val="20"/>
        </w:rPr>
        <w:t xml:space="preserve">obveze za povrat u državni proračun naknade bolovanja na teret HZZO po izvršenoj refundaciji u iznosu </w:t>
      </w:r>
      <w:r w:rsidR="009D2BFA">
        <w:rPr>
          <w:rFonts w:ascii="Times New Roman" w:hAnsi="Times New Roman" w:cs="Times New Roman"/>
          <w:sz w:val="20"/>
          <w:szCs w:val="20"/>
        </w:rPr>
        <w:t>77.827</w:t>
      </w:r>
      <w:r w:rsidRPr="00AD278F">
        <w:rPr>
          <w:rFonts w:ascii="Times New Roman" w:hAnsi="Times New Roman" w:cs="Times New Roman"/>
          <w:sz w:val="20"/>
          <w:szCs w:val="20"/>
        </w:rPr>
        <w:t xml:space="preserve"> kn</w:t>
      </w:r>
    </w:p>
    <w:p w:rsidR="006D77E3" w:rsidRDefault="006D77E3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266CE" w:rsidRPr="00B47703" w:rsidRDefault="001266CE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>AOP 229 Odgođeno plaćanje rashoda</w:t>
      </w:r>
    </w:p>
    <w:p w:rsidR="00C93224" w:rsidRPr="00C93224" w:rsidRDefault="00C93224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93224">
        <w:rPr>
          <w:rFonts w:ascii="Times New Roman" w:hAnsi="Times New Roman" w:cs="Times New Roman"/>
          <w:sz w:val="20"/>
          <w:szCs w:val="20"/>
        </w:rPr>
        <w:t>Na ovoj poziciji iskazana je procjena rashoda za plin za mjesec prosinac s obzirom da do trenutka sastavljanja izvještaja nije pristigao račun te je procjena rashoda evidentirana na osnovom računu  29111- obračunati rashodi koji nisu fakturirani a terete tekuće razdoblje.</w:t>
      </w:r>
    </w:p>
    <w:p w:rsidR="00393D27" w:rsidRDefault="00393D27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5F0C" w:rsidRPr="00B47703" w:rsidRDefault="00411723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AOP </w:t>
      </w:r>
      <w:r w:rsidR="001266CE" w:rsidRPr="00B47703">
        <w:rPr>
          <w:rFonts w:ascii="Times New Roman" w:hAnsi="Times New Roman" w:cs="Times New Roman"/>
          <w:b/>
          <w:i/>
          <w:sz w:val="20"/>
          <w:szCs w:val="20"/>
        </w:rPr>
        <w:t>239</w:t>
      </w:r>
      <w:r w:rsidR="002A2EB1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47703">
        <w:rPr>
          <w:rFonts w:ascii="Times New Roman" w:hAnsi="Times New Roman" w:cs="Times New Roman"/>
          <w:b/>
          <w:i/>
          <w:sz w:val="20"/>
          <w:szCs w:val="20"/>
        </w:rPr>
        <w:t>– Višak/manjak prihoda</w:t>
      </w:r>
    </w:p>
    <w:p w:rsidR="0072564C" w:rsidRDefault="002A2EB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3484E">
        <w:rPr>
          <w:rFonts w:ascii="Times New Roman" w:hAnsi="Times New Roman" w:cs="Times New Roman"/>
          <w:sz w:val="20"/>
          <w:szCs w:val="20"/>
        </w:rPr>
        <w:t xml:space="preserve">Sučeljavanjem prihoda i rashoda po istovrsnim kategorijama utvrđuje se rezultat poslovanja krajem godine. Tako je prema podacima iz bruto bilance utvrđen višak prihoda poslovanja u iznosu od </w:t>
      </w:r>
      <w:r w:rsidR="001266CE">
        <w:rPr>
          <w:rFonts w:ascii="Times New Roman" w:hAnsi="Times New Roman" w:cs="Times New Roman"/>
          <w:sz w:val="20"/>
          <w:szCs w:val="20"/>
        </w:rPr>
        <w:t>94.293</w:t>
      </w:r>
      <w:r w:rsidRPr="0013484E">
        <w:rPr>
          <w:rFonts w:ascii="Times New Roman" w:hAnsi="Times New Roman" w:cs="Times New Roman"/>
          <w:sz w:val="20"/>
          <w:szCs w:val="20"/>
        </w:rPr>
        <w:t xml:space="preserve"> kn</w:t>
      </w:r>
      <w:r w:rsidR="000151A2" w:rsidRPr="0013484E">
        <w:rPr>
          <w:rFonts w:ascii="Times New Roman" w:hAnsi="Times New Roman" w:cs="Times New Roman"/>
          <w:sz w:val="20"/>
          <w:szCs w:val="20"/>
        </w:rPr>
        <w:t xml:space="preserve"> te</w:t>
      </w:r>
      <w:r w:rsidRPr="0013484E">
        <w:rPr>
          <w:rFonts w:ascii="Times New Roman" w:hAnsi="Times New Roman" w:cs="Times New Roman"/>
          <w:sz w:val="20"/>
          <w:szCs w:val="20"/>
        </w:rPr>
        <w:t xml:space="preserve"> manjak prihoda od nefinancijske imovine u iznosu od </w:t>
      </w:r>
      <w:r w:rsidR="001266CE">
        <w:rPr>
          <w:rFonts w:ascii="Times New Roman" w:hAnsi="Times New Roman" w:cs="Times New Roman"/>
          <w:sz w:val="20"/>
          <w:szCs w:val="20"/>
        </w:rPr>
        <w:t>149.751</w:t>
      </w:r>
      <w:r w:rsidR="00985C53">
        <w:rPr>
          <w:rFonts w:ascii="Times New Roman" w:hAnsi="Times New Roman" w:cs="Times New Roman"/>
          <w:sz w:val="20"/>
          <w:szCs w:val="20"/>
        </w:rPr>
        <w:t xml:space="preserve"> kn</w:t>
      </w:r>
      <w:r w:rsidRPr="0013484E">
        <w:rPr>
          <w:rFonts w:ascii="Times New Roman" w:hAnsi="Times New Roman" w:cs="Times New Roman"/>
          <w:sz w:val="20"/>
          <w:szCs w:val="20"/>
        </w:rPr>
        <w:t xml:space="preserve">, što u konačnici daje </w:t>
      </w:r>
      <w:r w:rsidR="001266CE">
        <w:rPr>
          <w:rFonts w:ascii="Times New Roman" w:hAnsi="Times New Roman" w:cs="Times New Roman"/>
          <w:sz w:val="20"/>
          <w:szCs w:val="20"/>
        </w:rPr>
        <w:t>manjak</w:t>
      </w:r>
      <w:r w:rsidR="001E7687" w:rsidRPr="0013484E">
        <w:rPr>
          <w:rFonts w:ascii="Times New Roman" w:hAnsi="Times New Roman" w:cs="Times New Roman"/>
          <w:sz w:val="20"/>
          <w:szCs w:val="20"/>
        </w:rPr>
        <w:t xml:space="preserve"> prihoda u iznosu </w:t>
      </w:r>
      <w:r w:rsidR="001266CE">
        <w:rPr>
          <w:rFonts w:ascii="Times New Roman" w:hAnsi="Times New Roman" w:cs="Times New Roman"/>
          <w:sz w:val="20"/>
          <w:szCs w:val="20"/>
        </w:rPr>
        <w:t>55.458</w:t>
      </w:r>
      <w:r w:rsidRPr="0013484E">
        <w:rPr>
          <w:rFonts w:ascii="Times New Roman" w:hAnsi="Times New Roman" w:cs="Times New Roman"/>
          <w:sz w:val="20"/>
          <w:szCs w:val="20"/>
        </w:rPr>
        <w:t xml:space="preserve"> kn. Navedeni iznos odgovara iskazanom </w:t>
      </w:r>
      <w:r w:rsidR="0072564C">
        <w:rPr>
          <w:rFonts w:ascii="Times New Roman" w:hAnsi="Times New Roman" w:cs="Times New Roman"/>
          <w:sz w:val="20"/>
          <w:szCs w:val="20"/>
        </w:rPr>
        <w:t>manjku</w:t>
      </w:r>
      <w:r w:rsidRPr="0013484E">
        <w:rPr>
          <w:rFonts w:ascii="Times New Roman" w:hAnsi="Times New Roman" w:cs="Times New Roman"/>
          <w:sz w:val="20"/>
          <w:szCs w:val="20"/>
        </w:rPr>
        <w:t xml:space="preserve"> prihoda u </w:t>
      </w:r>
      <w:r w:rsidR="00DF22B7" w:rsidRPr="0013484E">
        <w:rPr>
          <w:rFonts w:ascii="Times New Roman" w:hAnsi="Times New Roman" w:cs="Times New Roman"/>
          <w:sz w:val="20"/>
          <w:szCs w:val="20"/>
        </w:rPr>
        <w:t xml:space="preserve">obrascu </w:t>
      </w:r>
      <w:r w:rsidRPr="0013484E">
        <w:rPr>
          <w:rFonts w:ascii="Times New Roman" w:hAnsi="Times New Roman" w:cs="Times New Roman"/>
          <w:sz w:val="20"/>
          <w:szCs w:val="20"/>
        </w:rPr>
        <w:t xml:space="preserve">PR-RAS na AOP oznaci </w:t>
      </w:r>
      <w:r w:rsidR="0072564C">
        <w:rPr>
          <w:rFonts w:ascii="Times New Roman" w:hAnsi="Times New Roman" w:cs="Times New Roman"/>
          <w:sz w:val="20"/>
          <w:szCs w:val="20"/>
        </w:rPr>
        <w:t>639</w:t>
      </w:r>
    </w:p>
    <w:p w:rsidR="0072564C" w:rsidRPr="0013484E" w:rsidRDefault="0072564C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A2515" w:rsidRPr="0013484E" w:rsidRDefault="00FA251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860"/>
        <w:gridCol w:w="2225"/>
        <w:gridCol w:w="1581"/>
        <w:gridCol w:w="1144"/>
        <w:gridCol w:w="1136"/>
        <w:gridCol w:w="1134"/>
        <w:gridCol w:w="1276"/>
      </w:tblGrid>
      <w:tr w:rsidR="00A17808" w:rsidRPr="00A17808" w:rsidTr="00A10656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Pozicija</w:t>
            </w:r>
            <w:r w:rsidR="0072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na dan 31.12.2021</w:t>
            </w: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PR-RAS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BILANCA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</w:t>
            </w:r>
          </w:p>
        </w:tc>
      </w:tr>
      <w:tr w:rsidR="00A17808" w:rsidRPr="00A17808" w:rsidTr="004D77F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A17808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A17808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AOP </w:t>
            </w:r>
            <w:r w:rsidR="00A10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285 do 288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72564C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112.854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A17808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AOP </w:t>
            </w:r>
            <w:r w:rsidR="0072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2270E3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94.293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A17808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 w:rsidR="0072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18.561</w:t>
            </w:r>
          </w:p>
        </w:tc>
      </w:tr>
      <w:tr w:rsidR="00A17808" w:rsidRPr="00A17808" w:rsidTr="004D77F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A17808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08" w:rsidRPr="00A17808" w:rsidRDefault="00A17808" w:rsidP="00A1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A17808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AOP </w:t>
            </w:r>
            <w:r w:rsidR="00B101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401 do 404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72564C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227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8.312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A17808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AOP </w:t>
            </w:r>
            <w:r w:rsidR="00B101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2270E3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149.751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08" w:rsidRPr="00A17808" w:rsidRDefault="002270E3" w:rsidP="004D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18.561</w:t>
            </w:r>
          </w:p>
        </w:tc>
      </w:tr>
    </w:tbl>
    <w:p w:rsidR="007B528C" w:rsidRPr="007B528C" w:rsidRDefault="00836D8C" w:rsidP="00EB3F9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B528C">
        <w:rPr>
          <w:rFonts w:ascii="Times New Roman" w:hAnsi="Times New Roman" w:cs="Times New Roman"/>
          <w:sz w:val="20"/>
          <w:szCs w:val="20"/>
        </w:rPr>
        <w:lastRenderedPageBreak/>
        <w:t xml:space="preserve">Sukladno članku 82. Pravilnika o proračunskom računovodstvu i računskom planu provedena je korekcija rezultata za ostvarene kapitalne prijenose </w:t>
      </w:r>
      <w:r w:rsidR="007B528C" w:rsidRPr="007B528C">
        <w:rPr>
          <w:rFonts w:ascii="Times New Roman" w:hAnsi="Times New Roman" w:cs="Times New Roman"/>
          <w:sz w:val="20"/>
          <w:szCs w:val="20"/>
        </w:rPr>
        <w:t>-k</w:t>
      </w:r>
      <w:r w:rsidRPr="007B528C">
        <w:rPr>
          <w:rFonts w:ascii="Times New Roman" w:hAnsi="Times New Roman" w:cs="Times New Roman"/>
          <w:sz w:val="20"/>
          <w:szCs w:val="20"/>
        </w:rPr>
        <w:t>apitalne pomoći utrošene za nabavu nefinancijske imovine tijekom 202</w:t>
      </w:r>
      <w:r w:rsidR="007B528C" w:rsidRPr="007B528C">
        <w:rPr>
          <w:rFonts w:ascii="Times New Roman" w:hAnsi="Times New Roman" w:cs="Times New Roman"/>
          <w:sz w:val="20"/>
          <w:szCs w:val="20"/>
        </w:rPr>
        <w:t>1</w:t>
      </w:r>
      <w:r w:rsidRPr="007B528C">
        <w:rPr>
          <w:rFonts w:ascii="Times New Roman" w:hAnsi="Times New Roman" w:cs="Times New Roman"/>
          <w:sz w:val="20"/>
          <w:szCs w:val="20"/>
        </w:rPr>
        <w:t>. Podatak u bilanci je naveden nakon provedene korekcije te se razlikuje od podatka u obrascu PR-RAS.</w:t>
      </w:r>
    </w:p>
    <w:p w:rsidR="00965C9F" w:rsidRDefault="002C124D" w:rsidP="00EB3F9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B528C">
        <w:rPr>
          <w:rFonts w:ascii="Times New Roman" w:hAnsi="Times New Roman" w:cs="Times New Roman"/>
          <w:sz w:val="20"/>
          <w:szCs w:val="20"/>
        </w:rPr>
        <w:t xml:space="preserve">U </w:t>
      </w:r>
      <w:r w:rsidR="00A17808" w:rsidRPr="007B528C">
        <w:rPr>
          <w:rFonts w:ascii="Times New Roman" w:hAnsi="Times New Roman" w:cs="Times New Roman"/>
          <w:sz w:val="20"/>
          <w:szCs w:val="20"/>
        </w:rPr>
        <w:t>202</w:t>
      </w:r>
      <w:r w:rsidR="007B528C" w:rsidRPr="007B528C">
        <w:rPr>
          <w:rFonts w:ascii="Times New Roman" w:hAnsi="Times New Roman" w:cs="Times New Roman"/>
          <w:sz w:val="20"/>
          <w:szCs w:val="20"/>
        </w:rPr>
        <w:t>1</w:t>
      </w:r>
      <w:r w:rsidRPr="007B528C">
        <w:rPr>
          <w:rFonts w:ascii="Times New Roman" w:hAnsi="Times New Roman" w:cs="Times New Roman"/>
          <w:sz w:val="20"/>
          <w:szCs w:val="20"/>
        </w:rPr>
        <w:t xml:space="preserve">. </w:t>
      </w:r>
      <w:r w:rsidR="001017B5" w:rsidRPr="007B528C">
        <w:rPr>
          <w:rFonts w:ascii="Times New Roman" w:hAnsi="Times New Roman" w:cs="Times New Roman"/>
          <w:sz w:val="20"/>
          <w:szCs w:val="20"/>
        </w:rPr>
        <w:t>g</w:t>
      </w:r>
      <w:r w:rsidRPr="007B528C">
        <w:rPr>
          <w:rFonts w:ascii="Times New Roman" w:hAnsi="Times New Roman" w:cs="Times New Roman"/>
          <w:sz w:val="20"/>
          <w:szCs w:val="20"/>
        </w:rPr>
        <w:t>odini ostvarena</w:t>
      </w:r>
      <w:r w:rsidR="0013484E" w:rsidRPr="007B528C">
        <w:rPr>
          <w:rFonts w:ascii="Times New Roman" w:hAnsi="Times New Roman" w:cs="Times New Roman"/>
          <w:sz w:val="20"/>
          <w:szCs w:val="20"/>
        </w:rPr>
        <w:t xml:space="preserve"> su </w:t>
      </w:r>
      <w:r w:rsidR="00965C9F" w:rsidRPr="007B528C">
        <w:rPr>
          <w:rFonts w:ascii="Times New Roman" w:hAnsi="Times New Roman" w:cs="Times New Roman"/>
          <w:sz w:val="20"/>
          <w:szCs w:val="20"/>
        </w:rPr>
        <w:t>kapitalne pomoći od</w:t>
      </w:r>
      <w:r w:rsidR="0013484E" w:rsidRPr="007B528C">
        <w:rPr>
          <w:rFonts w:ascii="Times New Roman" w:hAnsi="Times New Roman" w:cs="Times New Roman"/>
          <w:sz w:val="20"/>
          <w:szCs w:val="20"/>
        </w:rPr>
        <w:t xml:space="preserve"> </w:t>
      </w:r>
      <w:r w:rsidR="00A17808" w:rsidRPr="007B528C">
        <w:rPr>
          <w:rFonts w:ascii="Times New Roman" w:hAnsi="Times New Roman" w:cs="Times New Roman"/>
          <w:sz w:val="20"/>
          <w:szCs w:val="20"/>
        </w:rPr>
        <w:t xml:space="preserve">MZO za besplatne udžbenike u iznosu </w:t>
      </w:r>
      <w:r w:rsidR="007B528C" w:rsidRPr="007B528C">
        <w:rPr>
          <w:rFonts w:ascii="Times New Roman" w:hAnsi="Times New Roman" w:cs="Times New Roman"/>
          <w:sz w:val="20"/>
          <w:szCs w:val="20"/>
        </w:rPr>
        <w:t>3.111</w:t>
      </w:r>
      <w:r w:rsidR="00A17808" w:rsidRPr="007B528C">
        <w:rPr>
          <w:rFonts w:ascii="Times New Roman" w:hAnsi="Times New Roman" w:cs="Times New Roman"/>
          <w:sz w:val="20"/>
          <w:szCs w:val="20"/>
        </w:rPr>
        <w:t xml:space="preserve"> kn te sredstva za nabavu lektire i stručne literature u iznosu </w:t>
      </w:r>
      <w:r w:rsidR="007B528C" w:rsidRPr="007B528C">
        <w:rPr>
          <w:rFonts w:ascii="Times New Roman" w:hAnsi="Times New Roman" w:cs="Times New Roman"/>
          <w:sz w:val="20"/>
          <w:szCs w:val="20"/>
        </w:rPr>
        <w:t>4.000</w:t>
      </w:r>
      <w:r w:rsidR="00A17808" w:rsidRPr="007B528C">
        <w:rPr>
          <w:rFonts w:ascii="Times New Roman" w:hAnsi="Times New Roman" w:cs="Times New Roman"/>
          <w:sz w:val="20"/>
          <w:szCs w:val="20"/>
        </w:rPr>
        <w:t xml:space="preserve"> kn </w:t>
      </w:r>
      <w:r w:rsidR="00965C9F" w:rsidRPr="007B528C">
        <w:rPr>
          <w:rFonts w:ascii="Times New Roman" w:hAnsi="Times New Roman" w:cs="Times New Roman"/>
          <w:sz w:val="20"/>
          <w:szCs w:val="20"/>
        </w:rPr>
        <w:t>koja su namjenski utrošena za nabavu udžbenika i knjiga za knjižnicu.</w:t>
      </w:r>
      <w:r w:rsidR="007B528C" w:rsidRPr="007B528C">
        <w:rPr>
          <w:rFonts w:ascii="Times New Roman" w:hAnsi="Times New Roman" w:cs="Times New Roman"/>
          <w:sz w:val="20"/>
          <w:szCs w:val="20"/>
        </w:rPr>
        <w:t xml:space="preserve"> Od grada Nova Gradiška primljena je pomoć u iznosu 11.450 kn za opremanje sportske dvorane koja je namjenski utrošena za nabavu sportske opreme </w:t>
      </w:r>
      <w:r w:rsidR="00965C9F" w:rsidRPr="007B52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3224" w:rsidRPr="007B528C" w:rsidRDefault="00C93224" w:rsidP="007B528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56115" w:rsidRDefault="00C56115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0E56" w:rsidRPr="00B47703" w:rsidRDefault="000608FC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AOP </w:t>
      </w:r>
      <w:r w:rsidR="002270E3" w:rsidRPr="00B47703">
        <w:rPr>
          <w:rFonts w:ascii="Times New Roman" w:hAnsi="Times New Roman" w:cs="Times New Roman"/>
          <w:b/>
          <w:i/>
          <w:sz w:val="20"/>
          <w:szCs w:val="20"/>
        </w:rPr>
        <w:t>253/254</w:t>
      </w: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B47703">
        <w:rPr>
          <w:rFonts w:ascii="Times New Roman" w:hAnsi="Times New Roman" w:cs="Times New Roman"/>
          <w:b/>
          <w:i/>
          <w:sz w:val="20"/>
          <w:szCs w:val="20"/>
        </w:rPr>
        <w:t>Izvanbilančni</w:t>
      </w:r>
      <w:proofErr w:type="spellEnd"/>
      <w:r w:rsidR="00B47703">
        <w:rPr>
          <w:rFonts w:ascii="Times New Roman" w:hAnsi="Times New Roman" w:cs="Times New Roman"/>
          <w:b/>
          <w:i/>
          <w:sz w:val="20"/>
          <w:szCs w:val="20"/>
        </w:rPr>
        <w:t xml:space="preserve"> zapisi</w:t>
      </w:r>
    </w:p>
    <w:p w:rsidR="007B528C" w:rsidRPr="007B528C" w:rsidRDefault="007B528C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B528C">
        <w:rPr>
          <w:rFonts w:ascii="Times New Roman" w:hAnsi="Times New Roman" w:cs="Times New Roman"/>
          <w:sz w:val="20"/>
          <w:szCs w:val="20"/>
        </w:rPr>
        <w:t>Na ovoj poziciji evidentiran</w:t>
      </w:r>
      <w:r>
        <w:rPr>
          <w:rFonts w:ascii="Times New Roman" w:hAnsi="Times New Roman" w:cs="Times New Roman"/>
          <w:sz w:val="20"/>
          <w:szCs w:val="20"/>
        </w:rPr>
        <w:t xml:space="preserve">a je tuđa imovina dobivena na korištenje te potencijalne obveze po osnovi sudskih sporova </w:t>
      </w:r>
      <w:r w:rsidR="00C93224">
        <w:rPr>
          <w:rFonts w:ascii="Times New Roman" w:hAnsi="Times New Roman" w:cs="Times New Roman"/>
          <w:sz w:val="20"/>
          <w:szCs w:val="20"/>
        </w:rPr>
        <w:t>u tijeku.</w:t>
      </w:r>
    </w:p>
    <w:p w:rsidR="00836D8C" w:rsidRDefault="00851374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0608FC" w:rsidRPr="00F47880">
        <w:rPr>
          <w:rFonts w:ascii="Times New Roman" w:hAnsi="Times New Roman" w:cs="Times New Roman"/>
          <w:sz w:val="20"/>
          <w:szCs w:val="20"/>
        </w:rPr>
        <w:t>uđa imovina dobivena na korištenje</w:t>
      </w:r>
      <w:r>
        <w:rPr>
          <w:rFonts w:ascii="Times New Roman" w:hAnsi="Times New Roman" w:cs="Times New Roman"/>
          <w:sz w:val="20"/>
          <w:szCs w:val="20"/>
        </w:rPr>
        <w:t xml:space="preserve"> odnosi se na </w:t>
      </w:r>
      <w:r w:rsidR="002270E3">
        <w:rPr>
          <w:rFonts w:ascii="Times New Roman" w:hAnsi="Times New Roman" w:cs="Times New Roman"/>
          <w:sz w:val="20"/>
          <w:szCs w:val="20"/>
        </w:rPr>
        <w:t>i</w:t>
      </w:r>
      <w:r w:rsidR="000608FC" w:rsidRPr="00F47880">
        <w:rPr>
          <w:rFonts w:ascii="Times New Roman" w:hAnsi="Times New Roman" w:cs="Times New Roman"/>
          <w:sz w:val="20"/>
          <w:szCs w:val="20"/>
        </w:rPr>
        <w:t>nformatičk</w:t>
      </w:r>
      <w:r>
        <w:rPr>
          <w:rFonts w:ascii="Times New Roman" w:hAnsi="Times New Roman" w:cs="Times New Roman"/>
          <w:sz w:val="20"/>
          <w:szCs w:val="20"/>
        </w:rPr>
        <w:t>u</w:t>
      </w:r>
      <w:r w:rsidR="000608FC" w:rsidRPr="00F47880">
        <w:rPr>
          <w:rFonts w:ascii="Times New Roman" w:hAnsi="Times New Roman" w:cs="Times New Roman"/>
          <w:sz w:val="20"/>
          <w:szCs w:val="20"/>
        </w:rPr>
        <w:t xml:space="preserve"> oprem</w:t>
      </w:r>
      <w:r>
        <w:rPr>
          <w:rFonts w:ascii="Times New Roman" w:hAnsi="Times New Roman" w:cs="Times New Roman"/>
          <w:sz w:val="20"/>
          <w:szCs w:val="20"/>
        </w:rPr>
        <w:t>u</w:t>
      </w:r>
      <w:r w:rsidR="000608FC" w:rsidRPr="00F47880">
        <w:rPr>
          <w:rFonts w:ascii="Times New Roman" w:hAnsi="Times New Roman" w:cs="Times New Roman"/>
          <w:sz w:val="20"/>
          <w:szCs w:val="20"/>
        </w:rPr>
        <w:t xml:space="preserve"> isporučen</w:t>
      </w:r>
      <w:r>
        <w:rPr>
          <w:rFonts w:ascii="Times New Roman" w:hAnsi="Times New Roman" w:cs="Times New Roman"/>
          <w:sz w:val="20"/>
          <w:szCs w:val="20"/>
        </w:rPr>
        <w:t>u</w:t>
      </w:r>
      <w:r w:rsidR="000608FC" w:rsidRPr="00F47880">
        <w:rPr>
          <w:rFonts w:ascii="Times New Roman" w:hAnsi="Times New Roman" w:cs="Times New Roman"/>
          <w:sz w:val="20"/>
          <w:szCs w:val="20"/>
        </w:rPr>
        <w:t xml:space="preserve"> školi u sklopu projekta e-Škol</w:t>
      </w:r>
      <w:r w:rsidR="00836D8C">
        <w:rPr>
          <w:rFonts w:ascii="Times New Roman" w:hAnsi="Times New Roman" w:cs="Times New Roman"/>
          <w:sz w:val="20"/>
          <w:szCs w:val="20"/>
        </w:rPr>
        <w:t>e</w:t>
      </w:r>
      <w:r w:rsidR="007B47C0">
        <w:rPr>
          <w:rFonts w:ascii="Times New Roman" w:hAnsi="Times New Roman" w:cs="Times New Roman"/>
          <w:sz w:val="20"/>
          <w:szCs w:val="20"/>
        </w:rPr>
        <w:t xml:space="preserve"> (37 prijenosnih računala za nastavnike)</w:t>
      </w:r>
      <w:r w:rsidR="000608FC" w:rsidRPr="00F47880">
        <w:rPr>
          <w:rFonts w:ascii="Times New Roman" w:hAnsi="Times New Roman" w:cs="Times New Roman"/>
          <w:sz w:val="20"/>
          <w:szCs w:val="20"/>
        </w:rPr>
        <w:t xml:space="preserve"> i projekta Podrška provedbi Cjelovite </w:t>
      </w:r>
      <w:proofErr w:type="spellStart"/>
      <w:r w:rsidR="000608FC" w:rsidRPr="00F47880">
        <w:rPr>
          <w:rFonts w:ascii="Times New Roman" w:hAnsi="Times New Roman" w:cs="Times New Roman"/>
          <w:sz w:val="20"/>
          <w:szCs w:val="20"/>
        </w:rPr>
        <w:t>kurikularne</w:t>
      </w:r>
      <w:proofErr w:type="spellEnd"/>
      <w:r w:rsidR="000608FC" w:rsidRPr="00F47880">
        <w:rPr>
          <w:rFonts w:ascii="Times New Roman" w:hAnsi="Times New Roman" w:cs="Times New Roman"/>
          <w:sz w:val="20"/>
          <w:szCs w:val="20"/>
        </w:rPr>
        <w:t xml:space="preserve"> reforme Škola za život</w:t>
      </w:r>
      <w:r w:rsidR="00836D8C">
        <w:rPr>
          <w:rFonts w:ascii="Times New Roman" w:hAnsi="Times New Roman" w:cs="Times New Roman"/>
          <w:sz w:val="20"/>
          <w:szCs w:val="20"/>
        </w:rPr>
        <w:t xml:space="preserve"> </w:t>
      </w:r>
      <w:r w:rsidR="007B47C0">
        <w:rPr>
          <w:rFonts w:ascii="Times New Roman" w:hAnsi="Times New Roman" w:cs="Times New Roman"/>
          <w:sz w:val="20"/>
          <w:szCs w:val="20"/>
        </w:rPr>
        <w:t>(projektor i prijenosno računalo za stručne suradnike)</w:t>
      </w:r>
      <w:r w:rsidR="00C93224">
        <w:rPr>
          <w:rFonts w:ascii="Times New Roman" w:hAnsi="Times New Roman" w:cs="Times New Roman"/>
          <w:sz w:val="20"/>
          <w:szCs w:val="20"/>
        </w:rPr>
        <w:t xml:space="preserve"> a evidentirana je u iznosu 166.690 kn</w:t>
      </w:r>
    </w:p>
    <w:p w:rsidR="007B47C0" w:rsidRDefault="00851374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Potencijalne obveze po osnovi sudskih sporova evidentirane su u iznosu 63.</w:t>
      </w:r>
      <w:r w:rsidR="002270E3">
        <w:rPr>
          <w:rFonts w:ascii="Times New Roman" w:hAnsi="Times New Roman" w:cs="Times New Roman"/>
          <w:sz w:val="20"/>
          <w:szCs w:val="20"/>
        </w:rPr>
        <w:t>614</w:t>
      </w:r>
      <w:r>
        <w:rPr>
          <w:rFonts w:ascii="Times New Roman" w:hAnsi="Times New Roman" w:cs="Times New Roman"/>
          <w:sz w:val="20"/>
          <w:szCs w:val="20"/>
        </w:rPr>
        <w:t xml:space="preserve"> kn a odnose se na tužbe 6 zaposlenika</w:t>
      </w:r>
    </w:p>
    <w:p w:rsidR="007B47C0" w:rsidRDefault="007B47C0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razliku plaće zbog </w:t>
      </w:r>
      <w:proofErr w:type="spellStart"/>
      <w:r>
        <w:rPr>
          <w:rFonts w:ascii="Times New Roman" w:hAnsi="Times New Roman" w:cs="Times New Roman"/>
          <w:sz w:val="20"/>
          <w:szCs w:val="20"/>
        </w:rPr>
        <w:t>neuvećanja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osnovice plaće od 6% </w:t>
      </w:r>
      <w:r w:rsidR="00B10158">
        <w:rPr>
          <w:rFonts w:ascii="Times New Roman" w:hAnsi="Times New Roman" w:cs="Times New Roman"/>
          <w:sz w:val="20"/>
          <w:szCs w:val="20"/>
        </w:rPr>
        <w:t xml:space="preserve"> uvećane za zatezne kamate, sudske pristojbe te troškove parničnog postupka </w:t>
      </w:r>
      <w:r>
        <w:rPr>
          <w:rFonts w:ascii="Times New Roman" w:hAnsi="Times New Roman" w:cs="Times New Roman"/>
          <w:sz w:val="20"/>
          <w:szCs w:val="20"/>
        </w:rPr>
        <w:t>prema tablici u prilogu ovih bilješki.</w:t>
      </w:r>
    </w:p>
    <w:p w:rsidR="00220BBF" w:rsidRDefault="00220BBF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E35E5" w:rsidRDefault="00DE35E5" w:rsidP="00836D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B47C0" w:rsidRDefault="007B47C0" w:rsidP="00836D8C">
      <w:pPr>
        <w:pStyle w:val="Bezproreda"/>
        <w:jc w:val="both"/>
        <w:rPr>
          <w:rFonts w:ascii="Times New Roman" w:hAnsi="Times New Roman" w:cs="Times New Roman"/>
          <w:b/>
        </w:rPr>
      </w:pPr>
    </w:p>
    <w:p w:rsidR="00576883" w:rsidRPr="00226C12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BILJEŠKE</w:t>
      </w:r>
    </w:p>
    <w:p w:rsidR="00B36B7F" w:rsidRPr="00226C12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UZ IZVJEŠTAJ O PROMJENAMA U VRIJEDNOSTI I OBUJMU IMOVINE I OBVEZA</w:t>
      </w:r>
    </w:p>
    <w:p w:rsidR="00704091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(OBRAZAC P-VRIO)</w:t>
      </w:r>
    </w:p>
    <w:p w:rsidR="00C93224" w:rsidRPr="00226C12" w:rsidRDefault="00C93224" w:rsidP="0037542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37928" w:rsidRPr="00226C12" w:rsidRDefault="00337928" w:rsidP="00375422">
      <w:pPr>
        <w:jc w:val="both"/>
        <w:rPr>
          <w:rFonts w:ascii="Times New Roman" w:hAnsi="Times New Roman" w:cs="Times New Roman"/>
        </w:rPr>
      </w:pPr>
    </w:p>
    <w:p w:rsidR="00704091" w:rsidRPr="00B47703" w:rsidRDefault="00704091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>AOP 002 – Promjene u vrijednosti imovine</w:t>
      </w:r>
    </w:p>
    <w:p w:rsidR="002270E3" w:rsidRPr="003B539C" w:rsidRDefault="002270E3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B539C">
        <w:rPr>
          <w:rFonts w:ascii="Times New Roman" w:hAnsi="Times New Roman" w:cs="Times New Roman"/>
          <w:sz w:val="20"/>
          <w:szCs w:val="20"/>
        </w:rPr>
        <w:t>Iskazano smanjenje u iznosu 1.825 kn odnosi se na otpis knjiga po provedenoj reviziji knjižnične građe (AOP 005)</w:t>
      </w:r>
      <w:r w:rsidR="007800A6">
        <w:rPr>
          <w:rFonts w:ascii="Times New Roman" w:hAnsi="Times New Roman" w:cs="Times New Roman"/>
          <w:sz w:val="20"/>
          <w:szCs w:val="20"/>
        </w:rPr>
        <w:t>.</w:t>
      </w:r>
      <w:r w:rsidR="003B539C" w:rsidRPr="003B53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4091" w:rsidRDefault="007800A6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Smanjenje na poziciji AOP 017</w:t>
      </w:r>
      <w:r w:rsidR="003B539C" w:rsidRPr="003B539C">
        <w:rPr>
          <w:rFonts w:ascii="Times New Roman" w:hAnsi="Times New Roman" w:cs="Times New Roman"/>
          <w:sz w:val="20"/>
          <w:szCs w:val="20"/>
        </w:rPr>
        <w:t xml:space="preserve"> </w:t>
      </w:r>
      <w:r w:rsidR="005C5881" w:rsidRPr="003B539C">
        <w:rPr>
          <w:rFonts w:ascii="Times New Roman" w:hAnsi="Times New Roman" w:cs="Times New Roman"/>
          <w:sz w:val="20"/>
          <w:szCs w:val="20"/>
        </w:rPr>
        <w:t xml:space="preserve"> odnosi se na nerealizirane tečajne razlike odnosno usklađenje potraživanja za prodane stanove prema srednjem tečaju HNB-a</w:t>
      </w:r>
      <w:r w:rsidR="005C5881">
        <w:rPr>
          <w:rFonts w:ascii="Times New Roman" w:hAnsi="Times New Roman" w:cs="Times New Roman"/>
          <w:sz w:val="20"/>
          <w:szCs w:val="20"/>
        </w:rPr>
        <w:t xml:space="preserve"> </w:t>
      </w:r>
      <w:r w:rsidR="00704091" w:rsidRPr="00226C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3224" w:rsidRPr="00226C12" w:rsidRDefault="00C93224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12F1C" w:rsidRPr="00226C12" w:rsidRDefault="00D12F1C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064FD" w:rsidRPr="00B47703" w:rsidRDefault="00704091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>AOP 018 – Promjene u obujmu imovine</w:t>
      </w:r>
    </w:p>
    <w:p w:rsidR="00226C12" w:rsidRDefault="00704091" w:rsidP="0037542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26C1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Iskazano povećanje</w:t>
      </w:r>
      <w:r w:rsidR="007800A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 poziciji AOP 021 </w:t>
      </w:r>
      <w:r w:rsidRPr="00226C1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odnosi se </w:t>
      </w:r>
      <w:r w:rsidR="00D12F1C" w:rsidRPr="00226C1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</w:t>
      </w:r>
      <w:r w:rsidR="005C588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inventurom utvrđen višak </w:t>
      </w:r>
      <w:r w:rsidR="007800A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informatičke opreme –donacija za koju nije zaprimljena dokumentacija dok</w:t>
      </w:r>
      <w:r w:rsidR="008A7D1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7800A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se</w:t>
      </w:r>
      <w:r w:rsidR="008A7D1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7800A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iskazano smanjenje odnosi na manjak knjiga u šk. knjižnici utvrđen revizijom knjižnične građe</w:t>
      </w:r>
      <w:r w:rsidR="00220B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C93224" w:rsidRPr="00226C12" w:rsidRDefault="00C93224" w:rsidP="0037542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E35E5" w:rsidRDefault="001A6839" w:rsidP="00375422">
      <w:pPr>
        <w:pStyle w:val="Bezproreda"/>
        <w:jc w:val="both"/>
        <w:rPr>
          <w:rFonts w:ascii="Times New Roman" w:hAnsi="Times New Roman" w:cs="Times New Roman"/>
          <w:b/>
          <w:highlight w:val="yellow"/>
        </w:rPr>
      </w:pPr>
      <w:r w:rsidRPr="00226C1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220BBF" w:rsidRDefault="00220BBF" w:rsidP="0037542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76883" w:rsidRPr="00226C12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BILJEŠKE</w:t>
      </w:r>
    </w:p>
    <w:p w:rsidR="00576883" w:rsidRPr="00226C12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UZ IZVJEŠTAJ O RASHODIMA PREMA FUNKCIJSKOJ KLASIFIKACIJI</w:t>
      </w:r>
    </w:p>
    <w:p w:rsidR="00576883" w:rsidRPr="00226C12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(OBRAZAC RAS-funkcijski)</w:t>
      </w:r>
    </w:p>
    <w:p w:rsidR="00576883" w:rsidRPr="00226C12" w:rsidRDefault="00576883" w:rsidP="00375422">
      <w:pPr>
        <w:pStyle w:val="Bezproreda"/>
        <w:jc w:val="both"/>
        <w:rPr>
          <w:rFonts w:ascii="Times New Roman" w:hAnsi="Times New Roman" w:cs="Times New Roman"/>
        </w:rPr>
      </w:pPr>
    </w:p>
    <w:p w:rsidR="001F2CA3" w:rsidRPr="00226C12" w:rsidRDefault="008A7D10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obrascu su iskazani rashodi poslovanja i rashodi za nabavu nefinancijske imovine razvrstani prema njihovoj namjeni. Isti iznos iskazan je na poziciji </w:t>
      </w:r>
      <w:r w:rsidR="00576883" w:rsidRPr="00226C12">
        <w:rPr>
          <w:rFonts w:ascii="Times New Roman" w:hAnsi="Times New Roman" w:cs="Times New Roman"/>
          <w:sz w:val="20"/>
          <w:szCs w:val="20"/>
        </w:rPr>
        <w:t xml:space="preserve">AOP </w:t>
      </w:r>
      <w:r w:rsidR="002270E3">
        <w:rPr>
          <w:rFonts w:ascii="Times New Roman" w:hAnsi="Times New Roman" w:cs="Times New Roman"/>
          <w:sz w:val="20"/>
          <w:szCs w:val="20"/>
        </w:rPr>
        <w:t>407</w:t>
      </w:r>
      <w:r w:rsidR="00576883" w:rsidRPr="00226C12">
        <w:rPr>
          <w:rFonts w:ascii="Times New Roman" w:hAnsi="Times New Roman" w:cs="Times New Roman"/>
          <w:sz w:val="20"/>
          <w:szCs w:val="20"/>
        </w:rPr>
        <w:t xml:space="preserve"> obrasca PR-RAS</w:t>
      </w:r>
      <w:r>
        <w:rPr>
          <w:rFonts w:ascii="Times New Roman" w:hAnsi="Times New Roman" w:cs="Times New Roman"/>
          <w:sz w:val="20"/>
          <w:szCs w:val="20"/>
        </w:rPr>
        <w:t>. Prema tumačenju MZO ukupni rashodi iskazuju se na jednoj funkciji 0922-više srednjoškolsko obrazovanje (AOP 116).</w:t>
      </w:r>
    </w:p>
    <w:p w:rsidR="001C7FA1" w:rsidRPr="00BB17B0" w:rsidRDefault="001C7FA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7FA1" w:rsidRDefault="001C7FA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103E7" w:rsidRPr="00BB17B0" w:rsidRDefault="00D103E7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D2BFA" w:rsidRDefault="009D2BFA" w:rsidP="001C7FA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D2BFA" w:rsidRDefault="009D2BFA" w:rsidP="001C7FA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C7FA1" w:rsidRPr="00226C12" w:rsidRDefault="001C7FA1" w:rsidP="001C7FA1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BILJEŠKE</w:t>
      </w:r>
    </w:p>
    <w:p w:rsidR="001C7FA1" w:rsidRPr="00226C12" w:rsidRDefault="001C7FA1" w:rsidP="001C7FA1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UZ IZVJEŠTAJ O OBVEZAMA (OBRAZAC OBVEZE)</w:t>
      </w:r>
    </w:p>
    <w:p w:rsidR="00F217D4" w:rsidRPr="00226C12" w:rsidRDefault="00F217D4" w:rsidP="001C7FA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60236" w:rsidRPr="00B47703" w:rsidRDefault="00960236" w:rsidP="00960236">
      <w:pPr>
        <w:pStyle w:val="Bezprored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AOP </w:t>
      </w:r>
      <w:r w:rsidR="00316554" w:rsidRPr="00B47703">
        <w:rPr>
          <w:rFonts w:ascii="Times New Roman" w:hAnsi="Times New Roman" w:cs="Times New Roman"/>
          <w:b/>
          <w:i/>
          <w:sz w:val="20"/>
          <w:szCs w:val="20"/>
        </w:rPr>
        <w:t>039 Dospjele obveze na kraju izvještajnog razdoblja</w:t>
      </w:r>
    </w:p>
    <w:p w:rsidR="00AD278F" w:rsidRDefault="00316554" w:rsidP="00316554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Dospjele obveze</w:t>
      </w:r>
      <w:r w:rsidR="00960236">
        <w:rPr>
          <w:rFonts w:ascii="Times New Roman" w:hAnsi="Times New Roman" w:cs="Times New Roman"/>
          <w:sz w:val="20"/>
          <w:szCs w:val="20"/>
        </w:rPr>
        <w:t xml:space="preserve"> na kraju izvještajnog razdoblja </w:t>
      </w:r>
      <w:r w:rsidR="00DD4924">
        <w:rPr>
          <w:rFonts w:ascii="Times New Roman" w:hAnsi="Times New Roman" w:cs="Times New Roman"/>
          <w:sz w:val="20"/>
          <w:szCs w:val="20"/>
        </w:rPr>
        <w:t xml:space="preserve">odnose se </w:t>
      </w:r>
      <w:r w:rsidR="00647190">
        <w:rPr>
          <w:rFonts w:ascii="Times New Roman" w:hAnsi="Times New Roman" w:cs="Times New Roman"/>
          <w:sz w:val="20"/>
          <w:szCs w:val="20"/>
        </w:rPr>
        <w:t>na obveze po pravomoćnoj sudskoj presudi za isplatu razlike plaće uvećane za zatezne kamate i troškove parničnog postupka u ukupnom iznosu 6.128</w:t>
      </w:r>
      <w:r>
        <w:rPr>
          <w:rFonts w:ascii="Times New Roman" w:hAnsi="Times New Roman" w:cs="Times New Roman"/>
          <w:sz w:val="20"/>
          <w:szCs w:val="20"/>
        </w:rPr>
        <w:t xml:space="preserve"> kn </w:t>
      </w:r>
      <w:r w:rsidR="00647190">
        <w:rPr>
          <w:rFonts w:ascii="Times New Roman" w:hAnsi="Times New Roman" w:cs="Times New Roman"/>
          <w:sz w:val="20"/>
          <w:szCs w:val="20"/>
        </w:rPr>
        <w:t>te obveze prema dobavljačima u iznosu 3.732 kn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D278F" w:rsidRDefault="00AD278F" w:rsidP="00965099">
      <w:pPr>
        <w:pStyle w:val="Bezproreda"/>
        <w:tabs>
          <w:tab w:val="left" w:pos="1252"/>
        </w:tabs>
        <w:rPr>
          <w:rFonts w:ascii="Times New Roman" w:hAnsi="Times New Roman" w:cs="Times New Roman"/>
          <w:b/>
          <w:sz w:val="20"/>
          <w:szCs w:val="20"/>
        </w:rPr>
      </w:pPr>
    </w:p>
    <w:p w:rsidR="00220BBF" w:rsidRDefault="00220BBF" w:rsidP="00965099">
      <w:pPr>
        <w:pStyle w:val="Bezproreda"/>
        <w:tabs>
          <w:tab w:val="left" w:pos="1252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965099" w:rsidRPr="00B47703" w:rsidRDefault="00965099" w:rsidP="00965099">
      <w:pPr>
        <w:pStyle w:val="Bezproreda"/>
        <w:tabs>
          <w:tab w:val="left" w:pos="1252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B47703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AOP </w:t>
      </w:r>
      <w:r w:rsidR="007800A6" w:rsidRPr="00B47703">
        <w:rPr>
          <w:rFonts w:ascii="Times New Roman" w:hAnsi="Times New Roman" w:cs="Times New Roman"/>
          <w:b/>
          <w:i/>
          <w:sz w:val="20"/>
          <w:szCs w:val="20"/>
        </w:rPr>
        <w:t>098</w:t>
      </w:r>
      <w:r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Međusobne obveze proračunskih korisnika</w:t>
      </w:r>
      <w:r w:rsidR="00960236" w:rsidRPr="00B47703">
        <w:rPr>
          <w:rFonts w:ascii="Times New Roman" w:hAnsi="Times New Roman" w:cs="Times New Roman"/>
          <w:b/>
          <w:i/>
          <w:sz w:val="20"/>
          <w:szCs w:val="20"/>
        </w:rPr>
        <w:t>-nedospjele</w:t>
      </w:r>
    </w:p>
    <w:p w:rsidR="00ED0973" w:rsidRDefault="00965099" w:rsidP="00C56115">
      <w:pPr>
        <w:pStyle w:val="Bezproreda"/>
        <w:tabs>
          <w:tab w:val="left" w:pos="1252"/>
        </w:tabs>
        <w:rPr>
          <w:rFonts w:ascii="Calibri" w:hAnsi="Calibri" w:cs="Calibri"/>
        </w:rPr>
      </w:pPr>
      <w:r w:rsidRPr="00CF6D3D">
        <w:rPr>
          <w:rFonts w:ascii="Times New Roman" w:hAnsi="Times New Roman" w:cs="Times New Roman"/>
          <w:sz w:val="20"/>
          <w:szCs w:val="20"/>
        </w:rPr>
        <w:t xml:space="preserve">Na ovoj poziciji iskazane su obveze za povrat u proračun sredstava koje refundira HZZO </w:t>
      </w:r>
      <w:r w:rsidR="00ED0973">
        <w:rPr>
          <w:rFonts w:ascii="Times New Roman" w:hAnsi="Times New Roman" w:cs="Times New Roman"/>
          <w:sz w:val="20"/>
          <w:szCs w:val="20"/>
        </w:rPr>
        <w:t xml:space="preserve"> te obveze</w:t>
      </w:r>
      <w:r w:rsidR="00960236">
        <w:rPr>
          <w:rFonts w:ascii="Times New Roman" w:hAnsi="Times New Roman" w:cs="Times New Roman"/>
          <w:sz w:val="20"/>
          <w:szCs w:val="20"/>
        </w:rPr>
        <w:t xml:space="preserve"> prijenosa sredstava državnom proračunu za prihode od prodaje stanova sa stanarskim pravom za 65% pripadajućeg dijela</w:t>
      </w:r>
      <w:r w:rsidR="00ED0973">
        <w:rPr>
          <w:rFonts w:ascii="Times New Roman" w:hAnsi="Times New Roman" w:cs="Times New Roman"/>
          <w:sz w:val="20"/>
          <w:szCs w:val="20"/>
        </w:rPr>
        <w:t xml:space="preserve"> </w:t>
      </w:r>
      <w:r w:rsidR="00FE1E88">
        <w:rPr>
          <w:rFonts w:ascii="Times New Roman" w:hAnsi="Times New Roman" w:cs="Times New Roman"/>
          <w:sz w:val="20"/>
          <w:szCs w:val="20"/>
        </w:rPr>
        <w:t>.</w:t>
      </w:r>
    </w:p>
    <w:p w:rsidR="00B47FD1" w:rsidRDefault="00B47FD1" w:rsidP="00ED0973">
      <w:pPr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3043"/>
        <w:gridCol w:w="1797"/>
        <w:gridCol w:w="3170"/>
      </w:tblGrid>
      <w:tr w:rsidR="00B47FD1" w:rsidRPr="00B47FD1" w:rsidTr="005A35FC">
        <w:trPr>
          <w:trHeight w:val="283"/>
        </w:trPr>
        <w:tc>
          <w:tcPr>
            <w:tcW w:w="1951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Mjesto i datum: </w:t>
            </w:r>
          </w:p>
        </w:tc>
        <w:tc>
          <w:tcPr>
            <w:tcW w:w="3117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Nova Gradiška, </w:t>
            </w:r>
            <w:r w:rsidR="00FE1E88">
              <w:rPr>
                <w:rFonts w:ascii="Times New Roman" w:hAnsi="Times New Roman" w:cs="Times New Roman"/>
                <w:sz w:val="20"/>
                <w:szCs w:val="20"/>
              </w:rPr>
              <w:t>28.01.2022</w:t>
            </w: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B47FD1" w:rsidRPr="00865012" w:rsidRDefault="00242368" w:rsidP="0024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</w:p>
        </w:tc>
        <w:tc>
          <w:tcPr>
            <w:tcW w:w="3225" w:type="dxa"/>
            <w:vAlign w:val="center"/>
          </w:tcPr>
          <w:p w:rsidR="00B47FD1" w:rsidRPr="00865012" w:rsidRDefault="00242368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RAVNATELJICA:</w:t>
            </w:r>
          </w:p>
        </w:tc>
      </w:tr>
      <w:tr w:rsidR="00B47FD1" w:rsidRPr="00B47FD1" w:rsidTr="005A35FC">
        <w:trPr>
          <w:trHeight w:val="283"/>
        </w:trPr>
        <w:tc>
          <w:tcPr>
            <w:tcW w:w="1951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Osoba za kontakt:</w:t>
            </w:r>
          </w:p>
        </w:tc>
        <w:tc>
          <w:tcPr>
            <w:tcW w:w="3117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Jasenka </w:t>
            </w:r>
            <w:proofErr w:type="spellStart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Podobnik</w:t>
            </w:r>
            <w:proofErr w:type="spellEnd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dipl.oec</w:t>
            </w:r>
            <w:proofErr w:type="spellEnd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B47FD1" w:rsidRPr="00865012" w:rsidRDefault="00242368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Sanja </w:t>
            </w:r>
            <w:proofErr w:type="spellStart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Müller</w:t>
            </w:r>
            <w:proofErr w:type="spellEnd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-Zoričić, dipl.inf.</w:t>
            </w:r>
          </w:p>
        </w:tc>
      </w:tr>
      <w:tr w:rsidR="00B47FD1" w:rsidRPr="00B47FD1" w:rsidTr="005A35FC">
        <w:trPr>
          <w:trHeight w:val="283"/>
        </w:trPr>
        <w:tc>
          <w:tcPr>
            <w:tcW w:w="1951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Telefon za kontakt: </w:t>
            </w:r>
          </w:p>
        </w:tc>
        <w:tc>
          <w:tcPr>
            <w:tcW w:w="3117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035/362-575</w:t>
            </w:r>
          </w:p>
        </w:tc>
        <w:tc>
          <w:tcPr>
            <w:tcW w:w="1844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B47FD1" w:rsidTr="005A35FC">
        <w:trPr>
          <w:trHeight w:val="283"/>
        </w:trPr>
        <w:tc>
          <w:tcPr>
            <w:tcW w:w="1951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</w:tr>
      <w:tr w:rsidR="00B47FD1" w:rsidRPr="00B47FD1" w:rsidTr="005A35FC">
        <w:trPr>
          <w:trHeight w:val="283"/>
        </w:trPr>
        <w:tc>
          <w:tcPr>
            <w:tcW w:w="1951" w:type="dxa"/>
            <w:vAlign w:val="center"/>
          </w:tcPr>
          <w:p w:rsidR="00B47FD1" w:rsidRDefault="00B47FD1" w:rsidP="00B47FD1">
            <w:pPr>
              <w:rPr>
                <w:rFonts w:ascii="Times New Roman" w:hAnsi="Times New Roman" w:cs="Times New Roman"/>
              </w:rPr>
            </w:pPr>
          </w:p>
          <w:p w:rsidR="00E24097" w:rsidRPr="00B47FD1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:rsidR="00B47FD1" w:rsidRPr="00E32A77" w:rsidRDefault="00E32A77" w:rsidP="00E32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77">
              <w:rPr>
                <w:rFonts w:ascii="Times New Roman" w:hAnsi="Times New Roman" w:cs="Times New Roman"/>
                <w:sz w:val="18"/>
                <w:szCs w:val="18"/>
              </w:rPr>
              <w:t>potpis</w:t>
            </w:r>
          </w:p>
        </w:tc>
      </w:tr>
      <w:tr w:rsidR="00E24097" w:rsidRPr="00B47FD1" w:rsidTr="005A35FC">
        <w:trPr>
          <w:trHeight w:val="283"/>
        </w:trPr>
        <w:tc>
          <w:tcPr>
            <w:tcW w:w="1951" w:type="dxa"/>
            <w:vAlign w:val="center"/>
          </w:tcPr>
          <w:p w:rsidR="00E24097" w:rsidRPr="009D6498" w:rsidRDefault="00E24097" w:rsidP="00B47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498">
              <w:rPr>
                <w:rFonts w:ascii="Times New Roman" w:hAnsi="Times New Roman" w:cs="Times New Roman"/>
                <w:b/>
                <w:sz w:val="20"/>
                <w:szCs w:val="20"/>
              </w:rPr>
              <w:t>Prilozi:</w:t>
            </w:r>
          </w:p>
        </w:tc>
        <w:tc>
          <w:tcPr>
            <w:tcW w:w="3117" w:type="dxa"/>
            <w:vAlign w:val="center"/>
          </w:tcPr>
          <w:p w:rsidR="00E24097" w:rsidRPr="009D6498" w:rsidRDefault="005A35FC" w:rsidP="00B47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498">
              <w:rPr>
                <w:rFonts w:ascii="Times New Roman" w:hAnsi="Times New Roman" w:cs="Times New Roman"/>
                <w:b/>
                <w:sz w:val="20"/>
                <w:szCs w:val="20"/>
              </w:rPr>
              <w:t>Popis sudskih sporova u tijeku</w:t>
            </w:r>
          </w:p>
        </w:tc>
        <w:tc>
          <w:tcPr>
            <w:tcW w:w="1844" w:type="dxa"/>
            <w:vAlign w:val="center"/>
          </w:tcPr>
          <w:p w:rsidR="00E24097" w:rsidRPr="00B47FD1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E24097" w:rsidRPr="00E32A77" w:rsidRDefault="00E24097" w:rsidP="00E32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012" w:rsidRPr="00B47FD1" w:rsidTr="005A35FC">
        <w:trPr>
          <w:trHeight w:val="283"/>
        </w:trPr>
        <w:tc>
          <w:tcPr>
            <w:tcW w:w="1951" w:type="dxa"/>
            <w:vAlign w:val="center"/>
          </w:tcPr>
          <w:p w:rsidR="00865012" w:rsidRDefault="00865012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865012" w:rsidRDefault="00865012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865012" w:rsidRPr="00B47FD1" w:rsidRDefault="00865012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865012" w:rsidRPr="00E32A77" w:rsidRDefault="00865012" w:rsidP="00E32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097" w:rsidRPr="00B47FD1" w:rsidTr="005A35FC">
        <w:trPr>
          <w:trHeight w:val="283"/>
        </w:trPr>
        <w:tc>
          <w:tcPr>
            <w:tcW w:w="1951" w:type="dxa"/>
            <w:vAlign w:val="center"/>
          </w:tcPr>
          <w:p w:rsidR="00E24097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:rsidR="00E24097" w:rsidRPr="00B47FD1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E24097" w:rsidRPr="00B47FD1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E24097" w:rsidRPr="00E32A77" w:rsidRDefault="00E24097" w:rsidP="00E32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35FC" w:rsidRDefault="005A35FC" w:rsidP="0057688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E3647" w:rsidRDefault="001E3647" w:rsidP="001E36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  <w:sectPr w:rsidR="001E3647" w:rsidSect="00FF4A16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14020" w:type="dxa"/>
        <w:tblInd w:w="108" w:type="dxa"/>
        <w:tblLook w:val="04A0" w:firstRow="1" w:lastRow="0" w:firstColumn="1" w:lastColumn="0" w:noHBand="0" w:noVBand="1"/>
      </w:tblPr>
      <w:tblGrid>
        <w:gridCol w:w="883"/>
        <w:gridCol w:w="2580"/>
        <w:gridCol w:w="4000"/>
        <w:gridCol w:w="1660"/>
        <w:gridCol w:w="1660"/>
        <w:gridCol w:w="1580"/>
        <w:gridCol w:w="1700"/>
      </w:tblGrid>
      <w:tr w:rsidR="00F74B3F" w:rsidRPr="00F74B3F" w:rsidTr="00F74B3F">
        <w:trPr>
          <w:trHeight w:val="300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ELEKTROTEHNIČKA I EKONOMSKA ŠKOLA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B3F" w:rsidRPr="00F74B3F" w:rsidTr="00F74B3F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Ljudevita Gaja 24, Nova Gradiška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B3F" w:rsidRPr="00F74B3F" w:rsidTr="00F74B3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B3F" w:rsidRPr="00F74B3F" w:rsidTr="00F74B3F">
        <w:trPr>
          <w:trHeight w:val="3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POPIS SUDSKIH SPOROVA U TIJEKU NA DAN 31.12.2021.</w:t>
            </w:r>
          </w:p>
        </w:tc>
      </w:tr>
      <w:tr w:rsidR="00F74B3F" w:rsidRPr="00F74B3F" w:rsidTr="00F74B3F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B3F" w:rsidRPr="00F74B3F" w:rsidTr="00F74B3F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Tužitelj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Sažeti opis prirode spora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 glavnice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Procjena financijskog učinka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Procijenjeno vrijeme odljeva ili priljeva sredstava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Početak sudskog spora</w:t>
            </w:r>
          </w:p>
        </w:tc>
      </w:tr>
      <w:tr w:rsidR="00F74B3F" w:rsidRPr="00F74B3F" w:rsidTr="00F74B3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Zaposlenik 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7.597,77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15.595,64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31.05.2022.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F74B3F" w:rsidRPr="00F74B3F" w:rsidTr="00F74B3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Zaposlenik 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3.303,96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7.829,20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31.05.2022.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F74B3F" w:rsidRPr="00F74B3F" w:rsidTr="00F74B3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Zaposlenik 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7.517,17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15.086,50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31.05.2022.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08.10.2020.</w:t>
            </w:r>
          </w:p>
        </w:tc>
      </w:tr>
      <w:tr w:rsidR="00F74B3F" w:rsidRPr="00F74B3F" w:rsidTr="00F74B3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Zaposlenik 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4.355,22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9.012,66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15.03.2022.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23.06.2021.</w:t>
            </w:r>
          </w:p>
        </w:tc>
      </w:tr>
      <w:tr w:rsidR="00F74B3F" w:rsidRPr="00F74B3F" w:rsidTr="00F74B3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Zaposlenik 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3.561,47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7.813,34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15.03.2022.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01.07.2021.</w:t>
            </w:r>
          </w:p>
        </w:tc>
      </w:tr>
      <w:tr w:rsidR="00F74B3F" w:rsidRPr="00F74B3F" w:rsidTr="00F74B3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Zaposlenik 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plaće zbog </w:t>
            </w:r>
            <w:proofErr w:type="spellStart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neuvećanja</w:t>
            </w:r>
            <w:proofErr w:type="spellEnd"/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osnovice plaće od 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3.865,30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8.276,63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15.03.2022.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color w:val="000000"/>
                <w:lang w:eastAsia="hr-HR"/>
              </w:rPr>
              <w:t>01.07.2021.</w:t>
            </w:r>
          </w:p>
        </w:tc>
      </w:tr>
      <w:tr w:rsidR="00F74B3F" w:rsidRPr="00F74B3F" w:rsidTr="00F74B3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SVEUKUPNO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30.200,89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63.613,97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4B3F" w:rsidRPr="00F74B3F" w:rsidRDefault="00F74B3F" w:rsidP="00F74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74B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5A35FC" w:rsidRDefault="005A35FC" w:rsidP="00F74B3F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5A35FC" w:rsidSect="007E5AEA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AE" w:rsidRDefault="009B2CAE" w:rsidP="000151A2">
      <w:pPr>
        <w:spacing w:after="0" w:line="240" w:lineRule="auto"/>
      </w:pPr>
      <w:r>
        <w:separator/>
      </w:r>
    </w:p>
  </w:endnote>
  <w:endnote w:type="continuationSeparator" w:id="0">
    <w:p w:rsidR="009B2CAE" w:rsidRDefault="009B2CAE" w:rsidP="0001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736245"/>
      <w:docPartObj>
        <w:docPartGallery w:val="Page Numbers (Bottom of Page)"/>
        <w:docPartUnique/>
      </w:docPartObj>
    </w:sdtPr>
    <w:sdtEndPr/>
    <w:sdtContent>
      <w:p w:rsidR="00E03570" w:rsidRDefault="00E035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03570" w:rsidRDefault="00E035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AE" w:rsidRDefault="009B2CAE" w:rsidP="000151A2">
      <w:pPr>
        <w:spacing w:after="0" w:line="240" w:lineRule="auto"/>
      </w:pPr>
      <w:r>
        <w:separator/>
      </w:r>
    </w:p>
  </w:footnote>
  <w:footnote w:type="continuationSeparator" w:id="0">
    <w:p w:rsidR="009B2CAE" w:rsidRDefault="009B2CAE" w:rsidP="0001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357"/>
    <w:multiLevelType w:val="hybridMultilevel"/>
    <w:tmpl w:val="76E47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6F8"/>
    <w:multiLevelType w:val="hybridMultilevel"/>
    <w:tmpl w:val="06266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26A"/>
    <w:multiLevelType w:val="hybridMultilevel"/>
    <w:tmpl w:val="2F509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22AA"/>
    <w:multiLevelType w:val="hybridMultilevel"/>
    <w:tmpl w:val="07A0C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4BC2"/>
    <w:multiLevelType w:val="hybridMultilevel"/>
    <w:tmpl w:val="1CB0D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4D3C"/>
    <w:multiLevelType w:val="hybridMultilevel"/>
    <w:tmpl w:val="980A2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50A69"/>
    <w:multiLevelType w:val="hybridMultilevel"/>
    <w:tmpl w:val="155E1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25B8"/>
    <w:multiLevelType w:val="hybridMultilevel"/>
    <w:tmpl w:val="B4723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37D40"/>
    <w:multiLevelType w:val="hybridMultilevel"/>
    <w:tmpl w:val="C3EE0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1437"/>
    <w:multiLevelType w:val="hybridMultilevel"/>
    <w:tmpl w:val="642C7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3368"/>
    <w:multiLevelType w:val="hybridMultilevel"/>
    <w:tmpl w:val="BD6EB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B6"/>
    <w:rsid w:val="00010291"/>
    <w:rsid w:val="00012151"/>
    <w:rsid w:val="000151A2"/>
    <w:rsid w:val="00016965"/>
    <w:rsid w:val="0002226E"/>
    <w:rsid w:val="00025FD3"/>
    <w:rsid w:val="00045F6A"/>
    <w:rsid w:val="000529BF"/>
    <w:rsid w:val="000608FC"/>
    <w:rsid w:val="00066751"/>
    <w:rsid w:val="000817B7"/>
    <w:rsid w:val="00082EDD"/>
    <w:rsid w:val="00083AB6"/>
    <w:rsid w:val="0008488C"/>
    <w:rsid w:val="00085826"/>
    <w:rsid w:val="00085DF2"/>
    <w:rsid w:val="00090E9E"/>
    <w:rsid w:val="00091071"/>
    <w:rsid w:val="000B4C7E"/>
    <w:rsid w:val="000D5AB7"/>
    <w:rsid w:val="000E339D"/>
    <w:rsid w:val="001017B5"/>
    <w:rsid w:val="00101D41"/>
    <w:rsid w:val="00111549"/>
    <w:rsid w:val="00116712"/>
    <w:rsid w:val="0011719A"/>
    <w:rsid w:val="001179E1"/>
    <w:rsid w:val="00117EBC"/>
    <w:rsid w:val="0012107A"/>
    <w:rsid w:val="00121733"/>
    <w:rsid w:val="001266CE"/>
    <w:rsid w:val="00130A1F"/>
    <w:rsid w:val="0013484E"/>
    <w:rsid w:val="00140C7D"/>
    <w:rsid w:val="00141EF6"/>
    <w:rsid w:val="00146BC8"/>
    <w:rsid w:val="00151C90"/>
    <w:rsid w:val="0016163C"/>
    <w:rsid w:val="00175631"/>
    <w:rsid w:val="00175DD4"/>
    <w:rsid w:val="00192BCD"/>
    <w:rsid w:val="00193FC4"/>
    <w:rsid w:val="001A1E25"/>
    <w:rsid w:val="001A647F"/>
    <w:rsid w:val="001A6839"/>
    <w:rsid w:val="001B0E94"/>
    <w:rsid w:val="001B1467"/>
    <w:rsid w:val="001B1CE6"/>
    <w:rsid w:val="001B6456"/>
    <w:rsid w:val="001C45E8"/>
    <w:rsid w:val="001C55C5"/>
    <w:rsid w:val="001C607E"/>
    <w:rsid w:val="001C75EB"/>
    <w:rsid w:val="001C7FA1"/>
    <w:rsid w:val="001D08DF"/>
    <w:rsid w:val="001D179B"/>
    <w:rsid w:val="001E2E55"/>
    <w:rsid w:val="001E3647"/>
    <w:rsid w:val="001E49C8"/>
    <w:rsid w:val="001E4CA7"/>
    <w:rsid w:val="001E7687"/>
    <w:rsid w:val="001F0098"/>
    <w:rsid w:val="001F15AF"/>
    <w:rsid w:val="001F2CA3"/>
    <w:rsid w:val="001F66A2"/>
    <w:rsid w:val="001F6795"/>
    <w:rsid w:val="002038EF"/>
    <w:rsid w:val="00220BBF"/>
    <w:rsid w:val="0022113D"/>
    <w:rsid w:val="00226C12"/>
    <w:rsid w:val="002270E3"/>
    <w:rsid w:val="00237F61"/>
    <w:rsid w:val="00242368"/>
    <w:rsid w:val="00245FE8"/>
    <w:rsid w:val="002511CE"/>
    <w:rsid w:val="00256E52"/>
    <w:rsid w:val="002630A3"/>
    <w:rsid w:val="00284577"/>
    <w:rsid w:val="002879F1"/>
    <w:rsid w:val="002A2EB1"/>
    <w:rsid w:val="002A3034"/>
    <w:rsid w:val="002B204E"/>
    <w:rsid w:val="002B68BD"/>
    <w:rsid w:val="002C124D"/>
    <w:rsid w:val="002C2E35"/>
    <w:rsid w:val="002C36B7"/>
    <w:rsid w:val="002D56ED"/>
    <w:rsid w:val="002F61F9"/>
    <w:rsid w:val="00302EC5"/>
    <w:rsid w:val="003039C2"/>
    <w:rsid w:val="00316554"/>
    <w:rsid w:val="00320E56"/>
    <w:rsid w:val="00326461"/>
    <w:rsid w:val="00337928"/>
    <w:rsid w:val="00337F38"/>
    <w:rsid w:val="00342E0B"/>
    <w:rsid w:val="00347B13"/>
    <w:rsid w:val="003547FA"/>
    <w:rsid w:val="003565D6"/>
    <w:rsid w:val="00367D58"/>
    <w:rsid w:val="0037394E"/>
    <w:rsid w:val="003746D4"/>
    <w:rsid w:val="00375422"/>
    <w:rsid w:val="00375C13"/>
    <w:rsid w:val="00380BAC"/>
    <w:rsid w:val="00385386"/>
    <w:rsid w:val="00387728"/>
    <w:rsid w:val="00393D27"/>
    <w:rsid w:val="003952A8"/>
    <w:rsid w:val="003B539C"/>
    <w:rsid w:val="003C7683"/>
    <w:rsid w:val="003D07CB"/>
    <w:rsid w:val="003D3DA8"/>
    <w:rsid w:val="003D6136"/>
    <w:rsid w:val="003E2972"/>
    <w:rsid w:val="003E695A"/>
    <w:rsid w:val="003F28FA"/>
    <w:rsid w:val="00411723"/>
    <w:rsid w:val="004129D3"/>
    <w:rsid w:val="00424F78"/>
    <w:rsid w:val="004267AD"/>
    <w:rsid w:val="00431848"/>
    <w:rsid w:val="00437B45"/>
    <w:rsid w:val="004612A6"/>
    <w:rsid w:val="00463A38"/>
    <w:rsid w:val="004676F3"/>
    <w:rsid w:val="00471243"/>
    <w:rsid w:val="00475EC8"/>
    <w:rsid w:val="00476E57"/>
    <w:rsid w:val="004807AB"/>
    <w:rsid w:val="00480BAB"/>
    <w:rsid w:val="00491178"/>
    <w:rsid w:val="004A0BBE"/>
    <w:rsid w:val="004B05C3"/>
    <w:rsid w:val="004C0D04"/>
    <w:rsid w:val="004C10D0"/>
    <w:rsid w:val="004C157C"/>
    <w:rsid w:val="004C70F6"/>
    <w:rsid w:val="004D0C6F"/>
    <w:rsid w:val="004D2714"/>
    <w:rsid w:val="004D2ED6"/>
    <w:rsid w:val="004D36AC"/>
    <w:rsid w:val="004D4D64"/>
    <w:rsid w:val="004D77FE"/>
    <w:rsid w:val="004E637D"/>
    <w:rsid w:val="004E7E36"/>
    <w:rsid w:val="004F2735"/>
    <w:rsid w:val="004F5DD0"/>
    <w:rsid w:val="00512805"/>
    <w:rsid w:val="00513266"/>
    <w:rsid w:val="00516727"/>
    <w:rsid w:val="00517D74"/>
    <w:rsid w:val="005229AD"/>
    <w:rsid w:val="00523ADB"/>
    <w:rsid w:val="00530E75"/>
    <w:rsid w:val="00532579"/>
    <w:rsid w:val="0053488F"/>
    <w:rsid w:val="005417DC"/>
    <w:rsid w:val="00542472"/>
    <w:rsid w:val="00561672"/>
    <w:rsid w:val="00562585"/>
    <w:rsid w:val="00564B91"/>
    <w:rsid w:val="00565E52"/>
    <w:rsid w:val="00567712"/>
    <w:rsid w:val="00576883"/>
    <w:rsid w:val="0058164D"/>
    <w:rsid w:val="00583429"/>
    <w:rsid w:val="00583559"/>
    <w:rsid w:val="00583EE8"/>
    <w:rsid w:val="00592336"/>
    <w:rsid w:val="0059474E"/>
    <w:rsid w:val="00594ACD"/>
    <w:rsid w:val="005A0C7A"/>
    <w:rsid w:val="005A28BF"/>
    <w:rsid w:val="005A35FC"/>
    <w:rsid w:val="005A666E"/>
    <w:rsid w:val="005A7434"/>
    <w:rsid w:val="005A7B0E"/>
    <w:rsid w:val="005A7DE9"/>
    <w:rsid w:val="005C0D47"/>
    <w:rsid w:val="005C261C"/>
    <w:rsid w:val="005C3A05"/>
    <w:rsid w:val="005C5881"/>
    <w:rsid w:val="005D11DD"/>
    <w:rsid w:val="005D4B54"/>
    <w:rsid w:val="005D4FC0"/>
    <w:rsid w:val="005F40BF"/>
    <w:rsid w:val="005F5C61"/>
    <w:rsid w:val="005F67F6"/>
    <w:rsid w:val="006162BD"/>
    <w:rsid w:val="00620053"/>
    <w:rsid w:val="00621FC6"/>
    <w:rsid w:val="00623716"/>
    <w:rsid w:val="00626F3C"/>
    <w:rsid w:val="00627AB0"/>
    <w:rsid w:val="00642B44"/>
    <w:rsid w:val="0064635F"/>
    <w:rsid w:val="00647190"/>
    <w:rsid w:val="00647B5E"/>
    <w:rsid w:val="00647D18"/>
    <w:rsid w:val="00653512"/>
    <w:rsid w:val="00675756"/>
    <w:rsid w:val="00681284"/>
    <w:rsid w:val="0069089C"/>
    <w:rsid w:val="00693A20"/>
    <w:rsid w:val="0069547A"/>
    <w:rsid w:val="00696C9B"/>
    <w:rsid w:val="006B63FB"/>
    <w:rsid w:val="006C19AE"/>
    <w:rsid w:val="006C463E"/>
    <w:rsid w:val="006D5E6F"/>
    <w:rsid w:val="006D77E3"/>
    <w:rsid w:val="006E004E"/>
    <w:rsid w:val="006E59F5"/>
    <w:rsid w:val="007012B5"/>
    <w:rsid w:val="00704091"/>
    <w:rsid w:val="007107A6"/>
    <w:rsid w:val="00714E54"/>
    <w:rsid w:val="00717B26"/>
    <w:rsid w:val="0072564C"/>
    <w:rsid w:val="0072783D"/>
    <w:rsid w:val="00731110"/>
    <w:rsid w:val="00736788"/>
    <w:rsid w:val="00737E47"/>
    <w:rsid w:val="007415C5"/>
    <w:rsid w:val="007417ED"/>
    <w:rsid w:val="00742BE8"/>
    <w:rsid w:val="00745D37"/>
    <w:rsid w:val="00750260"/>
    <w:rsid w:val="00752B63"/>
    <w:rsid w:val="00753609"/>
    <w:rsid w:val="00761922"/>
    <w:rsid w:val="00775859"/>
    <w:rsid w:val="007800A6"/>
    <w:rsid w:val="00787111"/>
    <w:rsid w:val="00791AFB"/>
    <w:rsid w:val="007970B8"/>
    <w:rsid w:val="0079755A"/>
    <w:rsid w:val="007A45FD"/>
    <w:rsid w:val="007A659A"/>
    <w:rsid w:val="007A7F17"/>
    <w:rsid w:val="007B47C0"/>
    <w:rsid w:val="007B528C"/>
    <w:rsid w:val="007C08AB"/>
    <w:rsid w:val="007C781A"/>
    <w:rsid w:val="007E0CCA"/>
    <w:rsid w:val="007E2ED2"/>
    <w:rsid w:val="007E3237"/>
    <w:rsid w:val="007E5AEA"/>
    <w:rsid w:val="007F0E9F"/>
    <w:rsid w:val="007F2C77"/>
    <w:rsid w:val="007F4EA0"/>
    <w:rsid w:val="008064FD"/>
    <w:rsid w:val="008115D1"/>
    <w:rsid w:val="008118AD"/>
    <w:rsid w:val="00812711"/>
    <w:rsid w:val="008141F1"/>
    <w:rsid w:val="00825993"/>
    <w:rsid w:val="00833C8E"/>
    <w:rsid w:val="0083516F"/>
    <w:rsid w:val="008362CE"/>
    <w:rsid w:val="00836D8C"/>
    <w:rsid w:val="00842D55"/>
    <w:rsid w:val="00851374"/>
    <w:rsid w:val="00854FB9"/>
    <w:rsid w:val="0086262D"/>
    <w:rsid w:val="00865012"/>
    <w:rsid w:val="008668D6"/>
    <w:rsid w:val="00871EDF"/>
    <w:rsid w:val="00872AEA"/>
    <w:rsid w:val="00880C97"/>
    <w:rsid w:val="0088594F"/>
    <w:rsid w:val="00886EDF"/>
    <w:rsid w:val="00891A0C"/>
    <w:rsid w:val="008958E1"/>
    <w:rsid w:val="008A3303"/>
    <w:rsid w:val="008A4A8E"/>
    <w:rsid w:val="008A7023"/>
    <w:rsid w:val="008A7D10"/>
    <w:rsid w:val="008B612E"/>
    <w:rsid w:val="008C4B47"/>
    <w:rsid w:val="008D138B"/>
    <w:rsid w:val="008D5CEE"/>
    <w:rsid w:val="008D6D6E"/>
    <w:rsid w:val="008D7408"/>
    <w:rsid w:val="008E3EB6"/>
    <w:rsid w:val="008E486A"/>
    <w:rsid w:val="008E7BAB"/>
    <w:rsid w:val="008F1EDE"/>
    <w:rsid w:val="008F476D"/>
    <w:rsid w:val="00900B63"/>
    <w:rsid w:val="00901A13"/>
    <w:rsid w:val="00903C81"/>
    <w:rsid w:val="00916798"/>
    <w:rsid w:val="00923C1C"/>
    <w:rsid w:val="009243E4"/>
    <w:rsid w:val="00935931"/>
    <w:rsid w:val="00942627"/>
    <w:rsid w:val="00944C2F"/>
    <w:rsid w:val="00950FA2"/>
    <w:rsid w:val="009511B4"/>
    <w:rsid w:val="00957C47"/>
    <w:rsid w:val="00960236"/>
    <w:rsid w:val="00965099"/>
    <w:rsid w:val="00965C9F"/>
    <w:rsid w:val="0096683B"/>
    <w:rsid w:val="00967C7C"/>
    <w:rsid w:val="00967E2B"/>
    <w:rsid w:val="009732D8"/>
    <w:rsid w:val="00973E32"/>
    <w:rsid w:val="00985C53"/>
    <w:rsid w:val="0099115C"/>
    <w:rsid w:val="00994931"/>
    <w:rsid w:val="009A375A"/>
    <w:rsid w:val="009B2CAE"/>
    <w:rsid w:val="009C2D75"/>
    <w:rsid w:val="009D2BFA"/>
    <w:rsid w:val="009D6498"/>
    <w:rsid w:val="009F6428"/>
    <w:rsid w:val="00A04429"/>
    <w:rsid w:val="00A10656"/>
    <w:rsid w:val="00A117D4"/>
    <w:rsid w:val="00A12AA8"/>
    <w:rsid w:val="00A17808"/>
    <w:rsid w:val="00A226C0"/>
    <w:rsid w:val="00A310B6"/>
    <w:rsid w:val="00A33807"/>
    <w:rsid w:val="00A40EF8"/>
    <w:rsid w:val="00A4111D"/>
    <w:rsid w:val="00A422BE"/>
    <w:rsid w:val="00A50311"/>
    <w:rsid w:val="00A60245"/>
    <w:rsid w:val="00A6306C"/>
    <w:rsid w:val="00A9094F"/>
    <w:rsid w:val="00AA2335"/>
    <w:rsid w:val="00AA424D"/>
    <w:rsid w:val="00AA6985"/>
    <w:rsid w:val="00AB2B0A"/>
    <w:rsid w:val="00AB3CFD"/>
    <w:rsid w:val="00AC38B6"/>
    <w:rsid w:val="00AC5F0C"/>
    <w:rsid w:val="00AD278F"/>
    <w:rsid w:val="00AD3D8F"/>
    <w:rsid w:val="00AE6AEA"/>
    <w:rsid w:val="00B02E4E"/>
    <w:rsid w:val="00B06178"/>
    <w:rsid w:val="00B10158"/>
    <w:rsid w:val="00B36B7F"/>
    <w:rsid w:val="00B36E30"/>
    <w:rsid w:val="00B4002A"/>
    <w:rsid w:val="00B43F7B"/>
    <w:rsid w:val="00B47703"/>
    <w:rsid w:val="00B47FD1"/>
    <w:rsid w:val="00B51160"/>
    <w:rsid w:val="00B55920"/>
    <w:rsid w:val="00B72973"/>
    <w:rsid w:val="00B72B39"/>
    <w:rsid w:val="00B74C57"/>
    <w:rsid w:val="00B75BB4"/>
    <w:rsid w:val="00B81865"/>
    <w:rsid w:val="00B91455"/>
    <w:rsid w:val="00B936AB"/>
    <w:rsid w:val="00BA3AA9"/>
    <w:rsid w:val="00BB14BD"/>
    <w:rsid w:val="00BB17B0"/>
    <w:rsid w:val="00BB3D13"/>
    <w:rsid w:val="00BB541A"/>
    <w:rsid w:val="00BD2A15"/>
    <w:rsid w:val="00BD49B9"/>
    <w:rsid w:val="00BE4FEF"/>
    <w:rsid w:val="00BF114E"/>
    <w:rsid w:val="00C050EB"/>
    <w:rsid w:val="00C21714"/>
    <w:rsid w:val="00C22BB0"/>
    <w:rsid w:val="00C26B84"/>
    <w:rsid w:val="00C303AE"/>
    <w:rsid w:val="00C41CA2"/>
    <w:rsid w:val="00C4412C"/>
    <w:rsid w:val="00C530ED"/>
    <w:rsid w:val="00C56115"/>
    <w:rsid w:val="00C57E22"/>
    <w:rsid w:val="00C70467"/>
    <w:rsid w:val="00C7117D"/>
    <w:rsid w:val="00C73DBA"/>
    <w:rsid w:val="00C84F1A"/>
    <w:rsid w:val="00C90434"/>
    <w:rsid w:val="00C93224"/>
    <w:rsid w:val="00C96290"/>
    <w:rsid w:val="00C96EBC"/>
    <w:rsid w:val="00CA683F"/>
    <w:rsid w:val="00CB3B36"/>
    <w:rsid w:val="00CC48B4"/>
    <w:rsid w:val="00CD082C"/>
    <w:rsid w:val="00CE27CA"/>
    <w:rsid w:val="00CE37E3"/>
    <w:rsid w:val="00CF1ED4"/>
    <w:rsid w:val="00D103E7"/>
    <w:rsid w:val="00D12F1C"/>
    <w:rsid w:val="00D1355C"/>
    <w:rsid w:val="00D14A19"/>
    <w:rsid w:val="00D20CB1"/>
    <w:rsid w:val="00D21B6B"/>
    <w:rsid w:val="00D21E93"/>
    <w:rsid w:val="00D22629"/>
    <w:rsid w:val="00D24680"/>
    <w:rsid w:val="00D363EF"/>
    <w:rsid w:val="00D4131A"/>
    <w:rsid w:val="00D429B9"/>
    <w:rsid w:val="00D5772A"/>
    <w:rsid w:val="00D6183E"/>
    <w:rsid w:val="00D61CDE"/>
    <w:rsid w:val="00D63214"/>
    <w:rsid w:val="00D64118"/>
    <w:rsid w:val="00D830E5"/>
    <w:rsid w:val="00D8774F"/>
    <w:rsid w:val="00DA21C6"/>
    <w:rsid w:val="00DB072A"/>
    <w:rsid w:val="00DB776C"/>
    <w:rsid w:val="00DD2A28"/>
    <w:rsid w:val="00DD48CE"/>
    <w:rsid w:val="00DD4924"/>
    <w:rsid w:val="00DD7DEA"/>
    <w:rsid w:val="00DE35E5"/>
    <w:rsid w:val="00DE41DB"/>
    <w:rsid w:val="00DF22B7"/>
    <w:rsid w:val="00DF39C9"/>
    <w:rsid w:val="00DF646A"/>
    <w:rsid w:val="00E01002"/>
    <w:rsid w:val="00E03570"/>
    <w:rsid w:val="00E06969"/>
    <w:rsid w:val="00E0709B"/>
    <w:rsid w:val="00E11084"/>
    <w:rsid w:val="00E14167"/>
    <w:rsid w:val="00E1684C"/>
    <w:rsid w:val="00E178BA"/>
    <w:rsid w:val="00E23DF0"/>
    <w:rsid w:val="00E24097"/>
    <w:rsid w:val="00E32A77"/>
    <w:rsid w:val="00E330D4"/>
    <w:rsid w:val="00E378C7"/>
    <w:rsid w:val="00E408B6"/>
    <w:rsid w:val="00E426F1"/>
    <w:rsid w:val="00E52339"/>
    <w:rsid w:val="00E70074"/>
    <w:rsid w:val="00E83071"/>
    <w:rsid w:val="00E866EE"/>
    <w:rsid w:val="00E90E9F"/>
    <w:rsid w:val="00EA3AFC"/>
    <w:rsid w:val="00EB3F93"/>
    <w:rsid w:val="00EB4408"/>
    <w:rsid w:val="00EB61C9"/>
    <w:rsid w:val="00EC6C16"/>
    <w:rsid w:val="00ED0973"/>
    <w:rsid w:val="00ED3024"/>
    <w:rsid w:val="00EE2621"/>
    <w:rsid w:val="00EE2E00"/>
    <w:rsid w:val="00EE2EAF"/>
    <w:rsid w:val="00EE6DB6"/>
    <w:rsid w:val="00EE7285"/>
    <w:rsid w:val="00EF67D1"/>
    <w:rsid w:val="00F1019E"/>
    <w:rsid w:val="00F1065D"/>
    <w:rsid w:val="00F16F6C"/>
    <w:rsid w:val="00F217D4"/>
    <w:rsid w:val="00F21FF8"/>
    <w:rsid w:val="00F25627"/>
    <w:rsid w:val="00F25A45"/>
    <w:rsid w:val="00F26194"/>
    <w:rsid w:val="00F37161"/>
    <w:rsid w:val="00F4105D"/>
    <w:rsid w:val="00F47880"/>
    <w:rsid w:val="00F62E5D"/>
    <w:rsid w:val="00F64C5D"/>
    <w:rsid w:val="00F70D89"/>
    <w:rsid w:val="00F74B3F"/>
    <w:rsid w:val="00F76713"/>
    <w:rsid w:val="00F76F31"/>
    <w:rsid w:val="00F852EB"/>
    <w:rsid w:val="00F879D9"/>
    <w:rsid w:val="00F955D6"/>
    <w:rsid w:val="00FA2515"/>
    <w:rsid w:val="00FA2708"/>
    <w:rsid w:val="00FA68CB"/>
    <w:rsid w:val="00FB2C68"/>
    <w:rsid w:val="00FC0AF8"/>
    <w:rsid w:val="00FC44C0"/>
    <w:rsid w:val="00FC5703"/>
    <w:rsid w:val="00FD4DB2"/>
    <w:rsid w:val="00FD5403"/>
    <w:rsid w:val="00FE1E88"/>
    <w:rsid w:val="00FE29EC"/>
    <w:rsid w:val="00FF35B8"/>
    <w:rsid w:val="00FF4A16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8A0C"/>
  <w15:docId w15:val="{83A90180-BFFE-405C-A9FD-CAB0A9F9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67D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A15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link w:val="Bezproreda"/>
    <w:uiPriority w:val="1"/>
    <w:rsid w:val="005417DC"/>
  </w:style>
  <w:style w:type="paragraph" w:styleId="Odlomakpopisa">
    <w:name w:val="List Paragraph"/>
    <w:basedOn w:val="Normal"/>
    <w:uiPriority w:val="34"/>
    <w:qFormat/>
    <w:rsid w:val="00C90434"/>
    <w:pPr>
      <w:ind w:left="720"/>
      <w:contextualSpacing/>
    </w:pPr>
    <w:rPr>
      <w:rFonts w:ascii="Cambria" w:eastAsia="Times New Roman" w:hAnsi="Cambria" w:cs="Times New Roman"/>
      <w:lang w:eastAsia="hr-HR"/>
    </w:rPr>
  </w:style>
  <w:style w:type="paragraph" w:customStyle="1" w:styleId="Default">
    <w:name w:val="Default"/>
    <w:rsid w:val="00FD5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51A2"/>
  </w:style>
  <w:style w:type="paragraph" w:styleId="Podnoje">
    <w:name w:val="footer"/>
    <w:basedOn w:val="Normal"/>
    <w:link w:val="PodnojeChar"/>
    <w:uiPriority w:val="99"/>
    <w:unhideWhenUsed/>
    <w:rsid w:val="000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C8-4AA7-A932-DB3B88FCB4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C8-4AA7-A932-DB3B88FCB4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C8-4AA7-A932-DB3B88FCB4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C8-4AA7-A932-DB3B88FCB4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REZULTAT!$B$35:$B$38</c:f>
              <c:strCache>
                <c:ptCount val="4"/>
                <c:pt idx="0">
                  <c:v> MZO </c:v>
                </c:pt>
                <c:pt idx="1">
                  <c:v> BPŽ </c:v>
                </c:pt>
                <c:pt idx="2">
                  <c:v> VLASTITI  PRIHODI </c:v>
                </c:pt>
                <c:pt idx="3">
                  <c:v> OSTALI </c:v>
                </c:pt>
              </c:strCache>
            </c:strRef>
          </c:cat>
          <c:val>
            <c:numRef>
              <c:f>REZULTAT!$C$35:$C$38</c:f>
              <c:numCache>
                <c:formatCode>0.00%</c:formatCode>
                <c:ptCount val="4"/>
                <c:pt idx="0">
                  <c:v>0.89445986325522275</c:v>
                </c:pt>
                <c:pt idx="1">
                  <c:v>9.0562918998708414E-2</c:v>
                </c:pt>
                <c:pt idx="2">
                  <c:v>1.0695102199807287E-2</c:v>
                </c:pt>
                <c:pt idx="3">
                  <c:v>4.2821155462615581E-3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C8-4AA7-A932-DB3B88FCB44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Racunovodstvo</cp:lastModifiedBy>
  <cp:revision>3</cp:revision>
  <cp:lastPrinted>2020-01-30T07:28:00Z</cp:lastPrinted>
  <dcterms:created xsi:type="dcterms:W3CDTF">2022-02-01T07:38:00Z</dcterms:created>
  <dcterms:modified xsi:type="dcterms:W3CDTF">2022-02-01T07:45:00Z</dcterms:modified>
</cp:coreProperties>
</file>